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357" w:tblpY="-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</w:tblGrid>
      <w:tr w:rsidR="001F00B6" w:rsidTr="001F00B6">
        <w:trPr>
          <w:trHeight w:val="1777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F00B6" w:rsidRDefault="001F00B6" w:rsidP="001F00B6">
            <w:pPr>
              <w:spacing w:line="360" w:lineRule="auto"/>
              <w:ind w:right="-2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194F014F" wp14:editId="06F1EA40">
                  <wp:extent cx="669793" cy="6716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ytech_logo_ma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9793" cy="67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0019" w:tblpY="-872"/>
        <w:tblW w:w="0" w:type="auto"/>
        <w:tblLook w:val="0000" w:firstRow="0" w:lastRow="0" w:firstColumn="0" w:lastColumn="0" w:noHBand="0" w:noVBand="0"/>
      </w:tblPr>
      <w:tblGrid>
        <w:gridCol w:w="1457"/>
      </w:tblGrid>
      <w:tr w:rsidR="001F00B6" w:rsidTr="001F00B6">
        <w:trPr>
          <w:trHeight w:val="1685"/>
        </w:trPr>
        <w:tc>
          <w:tcPr>
            <w:tcW w:w="1457" w:type="dxa"/>
          </w:tcPr>
          <w:p w:rsidR="001F00B6" w:rsidRDefault="001F00B6" w:rsidP="001F00B6">
            <w:pPr>
              <w:spacing w:line="360" w:lineRule="auto"/>
              <w:ind w:right="-2"/>
              <w:jc w:val="center"/>
              <w:rPr>
                <w:sz w:val="18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340765" wp14:editId="760CA1E7">
                  <wp:extent cx="789327" cy="9046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rusigimg_kYNAZjg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12" cy="9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21F" w:rsidRDefault="009A721F" w:rsidP="001F00B6">
      <w:pPr>
        <w:spacing w:line="360" w:lineRule="auto"/>
        <w:ind w:right="-2"/>
        <w:jc w:val="center"/>
        <w:rPr>
          <w:sz w:val="18"/>
          <w:szCs w:val="20"/>
        </w:rPr>
      </w:pPr>
      <w:r>
        <w:rPr>
          <w:sz w:val="18"/>
          <w:szCs w:val="20"/>
        </w:rPr>
        <w:t>МИНИСТЕРСТВО НАУКИ И ВЫСШЕГО ОБРАЗОВАНИЯ РОССИЙСКОЙ ФЕДЕРАЦИИ</w:t>
      </w:r>
    </w:p>
    <w:p w:rsidR="009A721F" w:rsidRDefault="009A721F" w:rsidP="009A721F">
      <w:pPr>
        <w:spacing w:line="360" w:lineRule="auto"/>
        <w:ind w:right="-2"/>
        <w:jc w:val="center"/>
        <w:rPr>
          <w:caps/>
          <w:spacing w:val="-6"/>
          <w:sz w:val="16"/>
          <w:szCs w:val="16"/>
        </w:rPr>
      </w:pPr>
      <w:r>
        <w:rPr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A721F" w:rsidRDefault="009A721F" w:rsidP="009A721F">
      <w:pPr>
        <w:spacing w:line="276" w:lineRule="auto"/>
        <w:ind w:right="-2"/>
        <w:jc w:val="center"/>
        <w:rPr>
          <w:b/>
          <w:caps/>
          <w:sz w:val="22"/>
        </w:rPr>
      </w:pPr>
      <w:r>
        <w:rPr>
          <w:b/>
          <w:caps/>
          <w:sz w:val="22"/>
        </w:rPr>
        <w:t>«Московский политехнический университет»</w:t>
      </w:r>
    </w:p>
    <w:p w:rsidR="009A721F" w:rsidRDefault="009A721F" w:rsidP="009A721F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(МОСКОВСКИЙ ПОЛИТЕХ)</w:t>
      </w:r>
    </w:p>
    <w:p w:rsidR="009A721F" w:rsidRDefault="009A721F" w:rsidP="009A721F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9A721F" w:rsidRDefault="009A721F" w:rsidP="009A721F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6B15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ГОСУДАРСТВЕННОЕ УПРАВЛЕНИЕ И ПРАВО</w:t>
      </w:r>
      <w:r w:rsidR="006B154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A721F" w:rsidRDefault="009A721F" w:rsidP="009A721F">
      <w:pPr>
        <w:spacing w:line="276" w:lineRule="auto"/>
        <w:ind w:right="-2"/>
        <w:jc w:val="center"/>
        <w:rPr>
          <w:sz w:val="28"/>
          <w:szCs w:val="28"/>
        </w:rPr>
      </w:pPr>
    </w:p>
    <w:p w:rsidR="009A721F" w:rsidRPr="009A721F" w:rsidRDefault="009A721F" w:rsidP="009A721F">
      <w:pPr>
        <w:spacing w:line="276" w:lineRule="auto"/>
        <w:ind w:right="-2"/>
        <w:jc w:val="center"/>
        <w:rPr>
          <w:b/>
          <w:sz w:val="28"/>
          <w:szCs w:val="28"/>
        </w:rPr>
      </w:pPr>
      <w:r w:rsidRPr="009A721F">
        <w:rPr>
          <w:b/>
          <w:sz w:val="28"/>
          <w:szCs w:val="28"/>
        </w:rPr>
        <w:t>ВСЕРОССИЙСКАЯ НАУЧНО-ПРАКТИЧЕСКАЯ</w:t>
      </w:r>
      <w:r w:rsidRPr="009A721F">
        <w:rPr>
          <w:b/>
          <w:sz w:val="28"/>
          <w:szCs w:val="28"/>
        </w:rPr>
        <w:br/>
        <w:t>КОНФЕРЕНЦИЯ «ЛИЧНОСТЬ, ОБЩЕСТВО, ВЛАСТЬ 02/2019»</w:t>
      </w:r>
    </w:p>
    <w:p w:rsidR="002711E2" w:rsidRDefault="002711E2" w:rsidP="001F00B6">
      <w:pPr>
        <w:jc w:val="center"/>
      </w:pPr>
    </w:p>
    <w:p w:rsidR="009A721F" w:rsidRDefault="009A721F" w:rsidP="009A721F">
      <w:pPr>
        <w:jc w:val="center"/>
        <w:rPr>
          <w:b/>
          <w:sz w:val="28"/>
          <w:szCs w:val="28"/>
        </w:rPr>
      </w:pPr>
    </w:p>
    <w:p w:rsidR="009A721F" w:rsidRDefault="009A721F" w:rsidP="009A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bookmarkStart w:id="0" w:name="_GoBack"/>
      <w:bookmarkEnd w:id="0"/>
      <w:r>
        <w:rPr>
          <w:b/>
          <w:sz w:val="28"/>
          <w:szCs w:val="28"/>
        </w:rPr>
        <w:t>онное письмо</w:t>
      </w:r>
    </w:p>
    <w:p w:rsidR="009A721F" w:rsidRDefault="009A721F" w:rsidP="009A721F">
      <w:pPr>
        <w:jc w:val="center"/>
        <w:rPr>
          <w:rFonts w:ascii="Monotype Corsiva" w:hAnsi="Monotype Corsiva"/>
          <w:b/>
          <w:i/>
        </w:rPr>
      </w:pPr>
    </w:p>
    <w:p w:rsidR="009A721F" w:rsidRDefault="009A721F" w:rsidP="009A721F">
      <w:pPr>
        <w:jc w:val="center"/>
        <w:rPr>
          <w:rFonts w:ascii="Monotype Corsiva" w:hAnsi="Monotype Corsiva"/>
          <w:b/>
          <w:i/>
        </w:rPr>
      </w:pPr>
    </w:p>
    <w:p w:rsidR="009A721F" w:rsidRDefault="009A721F" w:rsidP="009A721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Уважаемые коллеги!</w:t>
      </w:r>
    </w:p>
    <w:p w:rsidR="009A721F" w:rsidRDefault="009A721F" w:rsidP="009A721F">
      <w:pPr>
        <w:jc w:val="center"/>
        <w:rPr>
          <w:b/>
          <w:i/>
        </w:rPr>
      </w:pPr>
    </w:p>
    <w:p w:rsidR="009A721F" w:rsidRDefault="009A721F" w:rsidP="009A721F">
      <w:pPr>
        <w:ind w:firstLine="720"/>
        <w:jc w:val="both"/>
      </w:pPr>
      <w:r w:rsidRPr="001F00B6">
        <w:rPr>
          <w:b/>
        </w:rPr>
        <w:t>25 апреля 2019 года</w:t>
      </w:r>
      <w:r>
        <w:t xml:space="preserve"> кафедра «Государственное управление и право» факультета экономики и управления Московского политехнического университета проводит Всероссийскую научно-практическую конференцию </w:t>
      </w:r>
      <w:r>
        <w:rPr>
          <w:b/>
        </w:rPr>
        <w:t xml:space="preserve">«Личность, общество, власть 02/2019». </w:t>
      </w:r>
      <w:r>
        <w:t xml:space="preserve">Начало работы конференции в </w:t>
      </w:r>
      <w:r w:rsidR="00295BA7" w:rsidRPr="00662A2C">
        <w:t>11.00</w:t>
      </w:r>
      <w:r>
        <w:t xml:space="preserve"> в ауд. ПК-211, регистрация участников с 9.30 1 этаж, корпус ПК (холл</w:t>
      </w:r>
      <w:r w:rsidR="00662A2C">
        <w:t>, главный вход</w:t>
      </w:r>
      <w:r>
        <w:t>).</w:t>
      </w:r>
    </w:p>
    <w:p w:rsidR="009A721F" w:rsidRDefault="009A721F" w:rsidP="009A721F">
      <w:pPr>
        <w:ind w:firstLine="720"/>
        <w:jc w:val="center"/>
        <w:rPr>
          <w:b/>
        </w:rPr>
      </w:pPr>
      <w:r>
        <w:rPr>
          <w:b/>
        </w:rPr>
        <w:t>Основные направления работы конференции:</w:t>
      </w:r>
    </w:p>
    <w:p w:rsidR="009A721F" w:rsidRPr="009A721F" w:rsidRDefault="009A721F" w:rsidP="009A721F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9A721F">
        <w:rPr>
          <w:rFonts w:ascii="Times New Roman" w:hAnsi="Times New Roman"/>
          <w:color w:val="000000"/>
          <w:szCs w:val="28"/>
        </w:rPr>
        <w:t>Экономические отношения и межрегиональные связи.</w:t>
      </w:r>
    </w:p>
    <w:p w:rsidR="009A721F" w:rsidRPr="009A721F" w:rsidRDefault="009A721F" w:rsidP="009A721F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9A721F">
        <w:rPr>
          <w:rFonts w:ascii="Times New Roman" w:hAnsi="Times New Roman"/>
          <w:color w:val="000000"/>
          <w:szCs w:val="28"/>
        </w:rPr>
        <w:t>Устойчивое развитие и экономическая безопасность.</w:t>
      </w:r>
    </w:p>
    <w:p w:rsidR="009A721F" w:rsidRPr="009A721F" w:rsidRDefault="009A721F" w:rsidP="009A721F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9A721F">
        <w:rPr>
          <w:rFonts w:ascii="Times New Roman" w:hAnsi="Times New Roman"/>
          <w:color w:val="000000"/>
          <w:szCs w:val="28"/>
        </w:rPr>
        <w:t>Управление инновациями.</w:t>
      </w:r>
    </w:p>
    <w:p w:rsidR="009A721F" w:rsidRPr="009A721F" w:rsidRDefault="009A721F" w:rsidP="009A721F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contextualSpacing w:val="0"/>
        <w:jc w:val="both"/>
        <w:rPr>
          <w:rFonts w:ascii="Times New Roman" w:hAnsi="Times New Roman"/>
          <w:szCs w:val="28"/>
        </w:rPr>
      </w:pPr>
      <w:r w:rsidRPr="009A721F">
        <w:rPr>
          <w:rFonts w:ascii="Times New Roman" w:hAnsi="Times New Roman"/>
          <w:szCs w:val="28"/>
        </w:rPr>
        <w:t>Правовое регулирование социально-экономических отношений.</w:t>
      </w:r>
    </w:p>
    <w:p w:rsidR="009A721F" w:rsidRPr="009A721F" w:rsidRDefault="009A721F" w:rsidP="009A721F">
      <w:pPr>
        <w:numPr>
          <w:ilvl w:val="0"/>
          <w:numId w:val="1"/>
        </w:numPr>
        <w:tabs>
          <w:tab w:val="left" w:pos="993"/>
        </w:tabs>
        <w:ind w:left="709" w:firstLine="0"/>
        <w:rPr>
          <w:szCs w:val="28"/>
        </w:rPr>
      </w:pPr>
      <w:r w:rsidRPr="009A721F">
        <w:rPr>
          <w:szCs w:val="28"/>
        </w:rPr>
        <w:t>Новые векторы экономического развития территорий.</w:t>
      </w:r>
    </w:p>
    <w:p w:rsidR="009A721F" w:rsidRPr="009A721F" w:rsidRDefault="009A721F" w:rsidP="009A721F">
      <w:pPr>
        <w:numPr>
          <w:ilvl w:val="0"/>
          <w:numId w:val="1"/>
        </w:numPr>
        <w:tabs>
          <w:tab w:val="left" w:pos="993"/>
        </w:tabs>
        <w:ind w:left="709" w:firstLine="0"/>
        <w:rPr>
          <w:szCs w:val="28"/>
        </w:rPr>
      </w:pPr>
      <w:r w:rsidRPr="009A721F">
        <w:rPr>
          <w:szCs w:val="28"/>
        </w:rPr>
        <w:t>Социальная политика: вызовы и приоритеты.</w:t>
      </w:r>
    </w:p>
    <w:p w:rsidR="009A721F" w:rsidRPr="009A721F" w:rsidRDefault="009A721F" w:rsidP="009A721F">
      <w:pPr>
        <w:numPr>
          <w:ilvl w:val="0"/>
          <w:numId w:val="1"/>
        </w:numPr>
        <w:tabs>
          <w:tab w:val="left" w:pos="993"/>
        </w:tabs>
        <w:ind w:left="709" w:firstLine="0"/>
        <w:rPr>
          <w:szCs w:val="28"/>
        </w:rPr>
      </w:pPr>
      <w:r w:rsidRPr="009A721F">
        <w:rPr>
          <w:szCs w:val="28"/>
        </w:rPr>
        <w:t>Взаимодействие личности и институтов публичной власти: формы, механизмы и технологии.</w:t>
      </w:r>
    </w:p>
    <w:p w:rsidR="009A721F" w:rsidRPr="009A721F" w:rsidRDefault="009A721F" w:rsidP="009A721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rPr>
          <w:color w:val="1F497D"/>
          <w:szCs w:val="28"/>
        </w:rPr>
      </w:pPr>
      <w:r w:rsidRPr="009A721F">
        <w:rPr>
          <w:color w:val="000000"/>
          <w:szCs w:val="28"/>
        </w:rPr>
        <w:t>Геополитические процессы: история и современность</w:t>
      </w:r>
    </w:p>
    <w:p w:rsidR="009A721F" w:rsidRPr="009A721F" w:rsidRDefault="009A721F" w:rsidP="009A721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rPr>
          <w:color w:val="1F497D"/>
          <w:szCs w:val="28"/>
        </w:rPr>
      </w:pPr>
      <w:r w:rsidRPr="009A721F">
        <w:rPr>
          <w:color w:val="000000"/>
          <w:szCs w:val="28"/>
        </w:rPr>
        <w:t xml:space="preserve">Государственное </w:t>
      </w:r>
      <w:r w:rsidR="00295BA7" w:rsidRPr="00662A2C">
        <w:rPr>
          <w:color w:val="000000"/>
          <w:szCs w:val="28"/>
        </w:rPr>
        <w:t>и</w:t>
      </w:r>
      <w:r w:rsidR="00295BA7">
        <w:rPr>
          <w:color w:val="000000"/>
          <w:szCs w:val="28"/>
        </w:rPr>
        <w:t xml:space="preserve"> </w:t>
      </w:r>
      <w:r w:rsidRPr="009A721F">
        <w:rPr>
          <w:color w:val="000000"/>
          <w:szCs w:val="28"/>
        </w:rPr>
        <w:t>муниципальное управление: теория и практика</w:t>
      </w:r>
    </w:p>
    <w:p w:rsidR="009A721F" w:rsidRPr="009A721F" w:rsidRDefault="009A721F" w:rsidP="009A721F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709" w:firstLine="0"/>
        <w:rPr>
          <w:color w:val="1F497D"/>
          <w:szCs w:val="28"/>
        </w:rPr>
      </w:pPr>
      <w:r w:rsidRPr="009A721F">
        <w:rPr>
          <w:color w:val="000000"/>
          <w:szCs w:val="28"/>
        </w:rPr>
        <w:t>Государственно-частное партнерство в Российской федерации</w:t>
      </w:r>
    </w:p>
    <w:p w:rsidR="009A721F" w:rsidRPr="009A721F" w:rsidRDefault="009A721F" w:rsidP="009A721F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709" w:firstLine="0"/>
        <w:rPr>
          <w:szCs w:val="28"/>
        </w:rPr>
      </w:pPr>
      <w:r w:rsidRPr="009A721F">
        <w:rPr>
          <w:szCs w:val="28"/>
        </w:rPr>
        <w:t>Гражданское общество в противодействии терроризму</w:t>
      </w:r>
    </w:p>
    <w:p w:rsidR="009A721F" w:rsidRDefault="009A721F" w:rsidP="009A721F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709" w:firstLine="0"/>
        <w:rPr>
          <w:szCs w:val="28"/>
        </w:rPr>
      </w:pPr>
      <w:r w:rsidRPr="009A721F">
        <w:rPr>
          <w:szCs w:val="28"/>
        </w:rPr>
        <w:t>Коррупция как социально-правовое явление</w:t>
      </w:r>
    </w:p>
    <w:p w:rsidR="009A721F" w:rsidRPr="009A721F" w:rsidRDefault="009A721F" w:rsidP="009A721F">
      <w:pPr>
        <w:shd w:val="clear" w:color="auto" w:fill="FFFFFF"/>
        <w:tabs>
          <w:tab w:val="left" w:pos="993"/>
          <w:tab w:val="left" w:pos="1134"/>
        </w:tabs>
        <w:ind w:left="709"/>
        <w:rPr>
          <w:szCs w:val="28"/>
        </w:rPr>
      </w:pPr>
    </w:p>
    <w:p w:rsidR="009A721F" w:rsidRPr="009A721F" w:rsidRDefault="009A721F" w:rsidP="009A721F">
      <w:pPr>
        <w:jc w:val="center"/>
        <w:rPr>
          <w:b/>
        </w:rPr>
      </w:pPr>
      <w:r w:rsidRPr="009A721F">
        <w:rPr>
          <w:b/>
        </w:rPr>
        <w:t>ФОРМА УЧАСТИЯ В КОНФЕРЕНЦИИ</w:t>
      </w:r>
    </w:p>
    <w:p w:rsidR="00B678E4" w:rsidRDefault="00B678E4" w:rsidP="00204D51">
      <w:pPr>
        <w:ind w:firstLine="709"/>
        <w:jc w:val="both"/>
        <w:rPr>
          <w:szCs w:val="28"/>
        </w:rPr>
      </w:pPr>
      <w:r w:rsidRPr="00B678E4">
        <w:rPr>
          <w:szCs w:val="28"/>
        </w:rPr>
        <w:t>Формы участия в конференции - очное и заочное с представлением доклада и опубликованием его в сборнике материалов.</w:t>
      </w:r>
      <w:r>
        <w:rPr>
          <w:szCs w:val="28"/>
        </w:rPr>
        <w:t xml:space="preserve"> </w:t>
      </w:r>
    </w:p>
    <w:p w:rsidR="00B678E4" w:rsidRDefault="00B678E4" w:rsidP="00B678E4">
      <w:pPr>
        <w:jc w:val="center"/>
        <w:rPr>
          <w:b/>
        </w:rPr>
      </w:pPr>
    </w:p>
    <w:p w:rsidR="001F00B6" w:rsidRDefault="001F00B6" w:rsidP="00B678E4">
      <w:pPr>
        <w:jc w:val="center"/>
        <w:rPr>
          <w:b/>
        </w:rPr>
      </w:pPr>
    </w:p>
    <w:p w:rsidR="001F00B6" w:rsidRDefault="001F00B6" w:rsidP="00B678E4">
      <w:pPr>
        <w:jc w:val="center"/>
        <w:rPr>
          <w:b/>
        </w:rPr>
      </w:pPr>
    </w:p>
    <w:p w:rsidR="00B678E4" w:rsidRDefault="00B678E4" w:rsidP="00B678E4">
      <w:pPr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 xml:space="preserve">Текст оформляется в текстовом редакторе </w:t>
      </w:r>
      <w:proofErr w:type="spellStart"/>
      <w:r w:rsidRPr="00B678E4">
        <w:rPr>
          <w:szCs w:val="28"/>
        </w:rPr>
        <w:t>Microsoft</w:t>
      </w:r>
      <w:proofErr w:type="spellEnd"/>
      <w:r w:rsidRPr="00B678E4">
        <w:rPr>
          <w:szCs w:val="28"/>
        </w:rPr>
        <w:t xml:space="preserve"> </w:t>
      </w:r>
      <w:proofErr w:type="spellStart"/>
      <w:r w:rsidRPr="00B678E4">
        <w:rPr>
          <w:szCs w:val="28"/>
        </w:rPr>
        <w:t>Word</w:t>
      </w:r>
      <w:proofErr w:type="spellEnd"/>
      <w:r w:rsidRPr="00B678E4">
        <w:rPr>
          <w:szCs w:val="28"/>
        </w:rPr>
        <w:t xml:space="preserve">; шрифт </w:t>
      </w:r>
      <w:proofErr w:type="spellStart"/>
      <w:r w:rsidRPr="00B678E4">
        <w:rPr>
          <w:szCs w:val="28"/>
        </w:rPr>
        <w:t>Times</w:t>
      </w:r>
      <w:proofErr w:type="spellEnd"/>
      <w:r w:rsidRPr="00B678E4">
        <w:rPr>
          <w:szCs w:val="28"/>
        </w:rPr>
        <w:t xml:space="preserve"> </w:t>
      </w:r>
      <w:proofErr w:type="spellStart"/>
      <w:r w:rsidRPr="00B678E4">
        <w:rPr>
          <w:szCs w:val="28"/>
        </w:rPr>
        <w:t>New</w:t>
      </w:r>
      <w:proofErr w:type="spellEnd"/>
      <w:r w:rsidRPr="00B678E4">
        <w:rPr>
          <w:szCs w:val="28"/>
        </w:rPr>
        <w:t xml:space="preserve"> </w:t>
      </w:r>
      <w:proofErr w:type="spellStart"/>
      <w:r w:rsidRPr="00B678E4">
        <w:rPr>
          <w:szCs w:val="28"/>
        </w:rPr>
        <w:t>Roman</w:t>
      </w:r>
      <w:proofErr w:type="spellEnd"/>
      <w:r w:rsidRPr="00B678E4">
        <w:rPr>
          <w:szCs w:val="28"/>
        </w:rPr>
        <w:t xml:space="preserve"> для основного текста – 14 </w:t>
      </w:r>
      <w:proofErr w:type="spellStart"/>
      <w:r w:rsidRPr="00B678E4">
        <w:rPr>
          <w:szCs w:val="28"/>
        </w:rPr>
        <w:t>пт</w:t>
      </w:r>
      <w:proofErr w:type="spellEnd"/>
      <w:r w:rsidRPr="00B678E4">
        <w:rPr>
          <w:szCs w:val="28"/>
        </w:rPr>
        <w:t xml:space="preserve">, для подрисуночных подписей, таблиц, примечаний и приложений – 12 </w:t>
      </w:r>
      <w:proofErr w:type="spellStart"/>
      <w:r w:rsidRPr="00B678E4">
        <w:rPr>
          <w:szCs w:val="28"/>
        </w:rPr>
        <w:t>пт</w:t>
      </w:r>
      <w:proofErr w:type="spellEnd"/>
      <w:r w:rsidRPr="00B678E4">
        <w:rPr>
          <w:szCs w:val="28"/>
        </w:rPr>
        <w:t xml:space="preserve">, межстрочный интервал – 1 </w:t>
      </w:r>
      <w:proofErr w:type="spellStart"/>
      <w:r w:rsidRPr="00B678E4">
        <w:rPr>
          <w:szCs w:val="28"/>
        </w:rPr>
        <w:t>пт</w:t>
      </w:r>
      <w:proofErr w:type="spellEnd"/>
      <w:r w:rsidRPr="00B678E4">
        <w:rPr>
          <w:szCs w:val="28"/>
        </w:rPr>
        <w:t>, отступ – 1,25 см, поля по 2 см, расстояние до верхнего колонтитула 1,25 см. Расстановка переносов отключена.</w:t>
      </w:r>
    </w:p>
    <w:p w:rsidR="00B678E4" w:rsidRPr="00B678E4" w:rsidRDefault="00B678E4" w:rsidP="00B678E4">
      <w:pPr>
        <w:ind w:firstLine="709"/>
        <w:jc w:val="both"/>
        <w:rPr>
          <w:color w:val="000000"/>
          <w:szCs w:val="28"/>
        </w:rPr>
      </w:pPr>
      <w:r w:rsidRPr="00B678E4">
        <w:rPr>
          <w:szCs w:val="28"/>
        </w:rPr>
        <w:t>Статья начинается с названия (полужирный курсив, выравнивание по центру)</w:t>
      </w:r>
      <w:r w:rsidR="00E40C50" w:rsidRPr="00E40C50">
        <w:rPr>
          <w:szCs w:val="28"/>
        </w:rPr>
        <w:t xml:space="preserve"> -14 </w:t>
      </w:r>
      <w:proofErr w:type="spellStart"/>
      <w:r w:rsidR="00E40C50">
        <w:rPr>
          <w:szCs w:val="28"/>
        </w:rPr>
        <w:t>пт</w:t>
      </w:r>
      <w:proofErr w:type="spellEnd"/>
      <w:r w:rsidRPr="00B678E4">
        <w:rPr>
          <w:szCs w:val="28"/>
        </w:rPr>
        <w:t xml:space="preserve">, далее следуют авторы с указанием ученой степени и звания, организация (курсив, </w:t>
      </w:r>
      <w:r w:rsidRPr="00B678E4">
        <w:rPr>
          <w:szCs w:val="28"/>
        </w:rPr>
        <w:lastRenderedPageBreak/>
        <w:t>выравнивание по правому краю), аннотация (до 4 строк), ключевые слова (до 5 слов)</w:t>
      </w:r>
      <w:r w:rsidR="00662A2C">
        <w:rPr>
          <w:szCs w:val="28"/>
        </w:rPr>
        <w:t xml:space="preserve"> на русском и английском языках</w:t>
      </w:r>
      <w:r w:rsidR="00E40C50">
        <w:rPr>
          <w:szCs w:val="28"/>
        </w:rPr>
        <w:t xml:space="preserve"> – 12пт</w:t>
      </w:r>
      <w:r w:rsidR="00662A2C">
        <w:rPr>
          <w:szCs w:val="28"/>
        </w:rPr>
        <w:t xml:space="preserve">. </w:t>
      </w:r>
      <w:r w:rsidRPr="00B678E4">
        <w:rPr>
          <w:color w:val="000000"/>
          <w:szCs w:val="28"/>
        </w:rPr>
        <w:t>Затем следует основной текст с иллюстрациями и таблицами, выводы и литература</w:t>
      </w:r>
      <w:r w:rsidR="00662A2C">
        <w:rPr>
          <w:color w:val="000000"/>
          <w:szCs w:val="28"/>
        </w:rPr>
        <w:t xml:space="preserve"> на русском языке</w:t>
      </w:r>
      <w:r w:rsidRPr="00B678E4">
        <w:rPr>
          <w:color w:val="000000"/>
          <w:szCs w:val="28"/>
        </w:rPr>
        <w:t>.</w:t>
      </w:r>
    </w:p>
    <w:p w:rsidR="00B678E4" w:rsidRPr="00B678E4" w:rsidRDefault="00B678E4" w:rsidP="00B678E4">
      <w:pPr>
        <w:ind w:firstLine="709"/>
        <w:jc w:val="both"/>
        <w:rPr>
          <w:color w:val="000000"/>
          <w:szCs w:val="28"/>
        </w:rPr>
      </w:pPr>
      <w:r w:rsidRPr="00B678E4">
        <w:rPr>
          <w:color w:val="000000"/>
          <w:szCs w:val="28"/>
        </w:rPr>
        <w:t>Названия рисунков, таблиц и заголовки «Выводы» и «Литература» – шрифт полужирный, выравнивание по центру. Формулы должны быть сохранены в виде рисунка. Рисунки, формулы и таблицы должны быть не редактируемые и вставлены в те</w:t>
      </w:r>
      <w:proofErr w:type="gramStart"/>
      <w:r w:rsidRPr="00B678E4">
        <w:rPr>
          <w:color w:val="000000"/>
          <w:szCs w:val="28"/>
        </w:rPr>
        <w:t>кст ст</w:t>
      </w:r>
      <w:proofErr w:type="gramEnd"/>
      <w:r w:rsidRPr="00B678E4">
        <w:rPr>
          <w:color w:val="000000"/>
          <w:szCs w:val="28"/>
        </w:rPr>
        <w:t xml:space="preserve">атьи в режиме «в тексте» по центру. Дополнительно эти рисунки, формулы и таблицы прилагаются в электронном виде отдельными файлами в формате </w:t>
      </w:r>
      <w:proofErr w:type="spellStart"/>
      <w:r w:rsidRPr="00B678E4">
        <w:rPr>
          <w:color w:val="000000"/>
          <w:szCs w:val="28"/>
        </w:rPr>
        <w:t>jpg</w:t>
      </w:r>
      <w:proofErr w:type="spellEnd"/>
      <w:r w:rsidRPr="00B678E4">
        <w:rPr>
          <w:color w:val="000000"/>
          <w:szCs w:val="28"/>
        </w:rPr>
        <w:t xml:space="preserve">. Плотность пикселей у рисунков должна быть 300 </w:t>
      </w:r>
      <w:proofErr w:type="spellStart"/>
      <w:r w:rsidRPr="00B678E4">
        <w:rPr>
          <w:color w:val="000000"/>
          <w:szCs w:val="28"/>
        </w:rPr>
        <w:t>dpi</w:t>
      </w:r>
      <w:proofErr w:type="spellEnd"/>
      <w:r w:rsidRPr="00B678E4">
        <w:rPr>
          <w:color w:val="000000"/>
          <w:szCs w:val="28"/>
        </w:rPr>
        <w:t xml:space="preserve"> (точек на дюйм).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 xml:space="preserve">Ссылки на литературу оформляются в соответствии с ГОСТ </w:t>
      </w:r>
      <w:proofErr w:type="gramStart"/>
      <w:r w:rsidRPr="00B678E4">
        <w:rPr>
          <w:szCs w:val="28"/>
        </w:rPr>
        <w:t>Р</w:t>
      </w:r>
      <w:proofErr w:type="gramEnd"/>
      <w:r w:rsidRPr="00B678E4">
        <w:rPr>
          <w:szCs w:val="28"/>
        </w:rPr>
        <w:t xml:space="preserve"> 7.0.5-2008. В ссылке указываются все соавторы и их инициалы. Текст – шрифт </w:t>
      </w:r>
      <w:proofErr w:type="spellStart"/>
      <w:r w:rsidRPr="00B678E4">
        <w:rPr>
          <w:szCs w:val="28"/>
        </w:rPr>
        <w:t>Times</w:t>
      </w:r>
      <w:proofErr w:type="spellEnd"/>
      <w:r w:rsidRPr="00B678E4">
        <w:rPr>
          <w:szCs w:val="28"/>
        </w:rPr>
        <w:t xml:space="preserve"> </w:t>
      </w:r>
      <w:proofErr w:type="spellStart"/>
      <w:r w:rsidRPr="00B678E4">
        <w:rPr>
          <w:szCs w:val="28"/>
        </w:rPr>
        <w:t>New</w:t>
      </w:r>
      <w:proofErr w:type="spellEnd"/>
      <w:r w:rsidRPr="00B678E4">
        <w:rPr>
          <w:szCs w:val="28"/>
        </w:rPr>
        <w:t xml:space="preserve"> </w:t>
      </w:r>
      <w:proofErr w:type="spellStart"/>
      <w:r w:rsidRPr="00B678E4">
        <w:rPr>
          <w:szCs w:val="28"/>
        </w:rPr>
        <w:t>Roman</w:t>
      </w:r>
      <w:proofErr w:type="spellEnd"/>
      <w:r w:rsidRPr="00B678E4">
        <w:rPr>
          <w:szCs w:val="28"/>
        </w:rPr>
        <w:t xml:space="preserve"> 12 пт.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 xml:space="preserve">Объем материалов не должен превышать </w:t>
      </w:r>
      <w:r w:rsidR="00662A2C">
        <w:rPr>
          <w:szCs w:val="28"/>
        </w:rPr>
        <w:t>5</w:t>
      </w:r>
      <w:r w:rsidRPr="00B678E4">
        <w:rPr>
          <w:szCs w:val="28"/>
        </w:rPr>
        <w:t xml:space="preserve"> страниц формата А</w:t>
      </w:r>
      <w:proofErr w:type="gramStart"/>
      <w:r w:rsidRPr="00B678E4">
        <w:rPr>
          <w:szCs w:val="28"/>
        </w:rPr>
        <w:t>4</w:t>
      </w:r>
      <w:proofErr w:type="gramEnd"/>
      <w:r w:rsidRPr="00B678E4">
        <w:rPr>
          <w:szCs w:val="28"/>
        </w:rPr>
        <w:t>.</w:t>
      </w:r>
    </w:p>
    <w:p w:rsidR="00B678E4" w:rsidRPr="00B678E4" w:rsidRDefault="00B678E4" w:rsidP="00B678E4">
      <w:pPr>
        <w:ind w:firstLine="709"/>
        <w:jc w:val="both"/>
        <w:rPr>
          <w:b/>
          <w:szCs w:val="28"/>
        </w:rPr>
      </w:pPr>
      <w:r w:rsidRPr="00B678E4">
        <w:rPr>
          <w:b/>
          <w:szCs w:val="28"/>
        </w:rPr>
        <w:t>Оригинальность текста не менее 80%.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>От одного автора принимается не более 2-х статей, в том числе в соавторстве.</w:t>
      </w:r>
    </w:p>
    <w:p w:rsidR="00B678E4" w:rsidRDefault="00B678E4" w:rsidP="00B678E4">
      <w:pPr>
        <w:jc w:val="both"/>
        <w:rPr>
          <w:szCs w:val="28"/>
        </w:rPr>
      </w:pPr>
    </w:p>
    <w:p w:rsidR="00B678E4" w:rsidRPr="00B678E4" w:rsidRDefault="00B678E4" w:rsidP="00B678E4">
      <w:pPr>
        <w:jc w:val="center"/>
        <w:rPr>
          <w:b/>
          <w:szCs w:val="28"/>
        </w:rPr>
      </w:pPr>
      <w:r w:rsidRPr="00B678E4">
        <w:rPr>
          <w:b/>
          <w:szCs w:val="28"/>
        </w:rPr>
        <w:t>УСЛОВИЯ УЧАСТИЯ СТУДЕНТОВ В КОНФЕРЕНЦИИ</w:t>
      </w:r>
    </w:p>
    <w:p w:rsidR="00B678E4" w:rsidRDefault="00B678E4" w:rsidP="00B678E4">
      <w:pPr>
        <w:ind w:firstLine="709"/>
        <w:jc w:val="both"/>
        <w:rPr>
          <w:rFonts w:eastAsia="PMingLiU"/>
          <w:szCs w:val="28"/>
        </w:rPr>
      </w:pPr>
      <w:r>
        <w:rPr>
          <w:szCs w:val="28"/>
        </w:rPr>
        <w:t xml:space="preserve">В рамках конференции организуется </w:t>
      </w:r>
      <w:r w:rsidRPr="00B678E4">
        <w:rPr>
          <w:szCs w:val="28"/>
        </w:rPr>
        <w:t>конкурс студенческих работ «Актуальные проблемы государственного управления и права». Жюри конкурса состоит из ведущих преподавателей кафедры «Государственное управление и право»</w:t>
      </w:r>
      <w:r w:rsidR="0033649E">
        <w:rPr>
          <w:szCs w:val="28"/>
        </w:rPr>
        <w:t>.</w:t>
      </w:r>
      <w:r w:rsidRPr="00B678E4">
        <w:rPr>
          <w:szCs w:val="28"/>
        </w:rPr>
        <w:t xml:space="preserve"> Жюри состоит не менее чем из 3 человек для принятия коллегиального решения. Жюри проводит анализ предложенных на конференцию исследовательских работ, осуществляет прослушивание докладов участников кон</w:t>
      </w:r>
      <w:r w:rsidR="0033649E">
        <w:rPr>
          <w:szCs w:val="28"/>
        </w:rPr>
        <w:t>курса</w:t>
      </w:r>
      <w:r w:rsidRPr="00B678E4">
        <w:rPr>
          <w:szCs w:val="28"/>
        </w:rPr>
        <w:t>, составляет протокол об итогах работы, определяет победителей и распределяет призовые места.</w:t>
      </w:r>
      <w:r w:rsidRPr="00B678E4">
        <w:rPr>
          <w:rFonts w:eastAsia="PMingLiU"/>
          <w:szCs w:val="28"/>
        </w:rPr>
        <w:t xml:space="preserve"> </w:t>
      </w:r>
    </w:p>
    <w:p w:rsidR="00B678E4" w:rsidRPr="00B678E4" w:rsidRDefault="00B678E4" w:rsidP="00B678E4">
      <w:pPr>
        <w:ind w:firstLine="709"/>
        <w:jc w:val="both"/>
        <w:rPr>
          <w:rFonts w:eastAsia="PMingLiU"/>
          <w:szCs w:val="28"/>
        </w:rPr>
      </w:pPr>
    </w:p>
    <w:p w:rsidR="00B678E4" w:rsidRPr="00B678E4" w:rsidRDefault="00B678E4" w:rsidP="00B678E4">
      <w:pPr>
        <w:ind w:left="709"/>
        <w:jc w:val="center"/>
        <w:rPr>
          <w:b/>
          <w:szCs w:val="28"/>
        </w:rPr>
      </w:pPr>
      <w:r w:rsidRPr="00B678E4">
        <w:rPr>
          <w:rFonts w:eastAsia="PMingLiU"/>
          <w:b/>
          <w:szCs w:val="28"/>
        </w:rPr>
        <w:t>ТРЕБОВАНИЯ К СТУДЕНЧЕСКИМ РАБОТАМ: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 xml:space="preserve">К конкурсу допускаются исследовательские, реферативные, прикладные, творческие работы. Работы должны быть выполнены самостоятельно и носить практический и теоретический интерес. 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 xml:space="preserve">Ценным является творчество, интеллектуальная продуктивность, оригинальность подходов. </w:t>
      </w:r>
    </w:p>
    <w:p w:rsidR="00B678E4" w:rsidRPr="00B678E4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>Реферативная работа должна носить аналитический характер и содержать собственные выводы автора.</w:t>
      </w:r>
    </w:p>
    <w:p w:rsidR="0033649E" w:rsidRDefault="00B678E4" w:rsidP="00B678E4">
      <w:pPr>
        <w:ind w:firstLine="709"/>
        <w:jc w:val="both"/>
        <w:rPr>
          <w:szCs w:val="28"/>
        </w:rPr>
      </w:pPr>
      <w:r w:rsidRPr="00B678E4">
        <w:rPr>
          <w:szCs w:val="28"/>
        </w:rPr>
        <w:t>Оцениваются актуальность, новизна и самостоятельность исследования, научная и практическая значимость, четкость изложения материала, качество, информированность и четкость иллюстративного материала</w:t>
      </w:r>
      <w:r w:rsidR="0033649E">
        <w:rPr>
          <w:szCs w:val="28"/>
        </w:rPr>
        <w:t>.</w:t>
      </w:r>
    </w:p>
    <w:p w:rsidR="00B678E4" w:rsidRPr="00B678E4" w:rsidRDefault="0033649E" w:rsidP="00B678E4">
      <w:pPr>
        <w:ind w:firstLine="709"/>
        <w:jc w:val="both"/>
        <w:rPr>
          <w:szCs w:val="28"/>
        </w:rPr>
      </w:pPr>
      <w:r>
        <w:rPr>
          <w:szCs w:val="28"/>
        </w:rPr>
        <w:t xml:space="preserve">Оформление материалов конкурсных работ должно соответствовать требованиям к оформлению рефератов Московского Политехнического университета. </w:t>
      </w:r>
      <w:r w:rsidR="00B678E4" w:rsidRPr="00B678E4">
        <w:rPr>
          <w:szCs w:val="28"/>
        </w:rPr>
        <w:t xml:space="preserve"> </w:t>
      </w:r>
    </w:p>
    <w:p w:rsidR="00B678E4" w:rsidRDefault="00B678E4" w:rsidP="00B678E4">
      <w:pPr>
        <w:spacing w:line="300" w:lineRule="atLeast"/>
        <w:ind w:firstLine="709"/>
        <w:jc w:val="both"/>
        <w:rPr>
          <w:szCs w:val="28"/>
        </w:rPr>
      </w:pPr>
      <w:r w:rsidRPr="00B678E4">
        <w:rPr>
          <w:szCs w:val="28"/>
        </w:rPr>
        <w:t xml:space="preserve">Работы, не отвечающие содержательным требованиям конференции, к участию в конференции не допускаются. </w:t>
      </w:r>
    </w:p>
    <w:p w:rsidR="00B678E4" w:rsidRPr="00B678E4" w:rsidRDefault="00B678E4" w:rsidP="00B678E4">
      <w:pPr>
        <w:spacing w:line="300" w:lineRule="atLeast"/>
        <w:ind w:firstLine="709"/>
        <w:jc w:val="both"/>
        <w:rPr>
          <w:b/>
          <w:szCs w:val="28"/>
        </w:rPr>
      </w:pPr>
      <w:r w:rsidRPr="00B678E4">
        <w:rPr>
          <w:b/>
          <w:szCs w:val="28"/>
        </w:rPr>
        <w:t xml:space="preserve">Сроки предоставления работ на конференцию и на конкурс – </w:t>
      </w:r>
      <w:r w:rsidR="0033649E">
        <w:rPr>
          <w:b/>
          <w:szCs w:val="28"/>
        </w:rPr>
        <w:t>15 апреля</w:t>
      </w:r>
      <w:r w:rsidRPr="00B678E4">
        <w:rPr>
          <w:b/>
          <w:szCs w:val="28"/>
        </w:rPr>
        <w:t xml:space="preserve"> 2019 года.</w:t>
      </w:r>
    </w:p>
    <w:p w:rsidR="009A721F" w:rsidRPr="00204D51" w:rsidRDefault="009A721F" w:rsidP="009A721F">
      <w:pPr>
        <w:rPr>
          <w:i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33649E" w:rsidRDefault="0033649E" w:rsidP="00B678E4">
      <w:pPr>
        <w:jc w:val="center"/>
        <w:rPr>
          <w:b/>
          <w:spacing w:val="-4"/>
        </w:rPr>
      </w:pPr>
    </w:p>
    <w:p w:rsidR="00B678E4" w:rsidRDefault="00B678E4" w:rsidP="00B678E4">
      <w:pPr>
        <w:jc w:val="center"/>
        <w:rPr>
          <w:b/>
          <w:spacing w:val="-4"/>
        </w:rPr>
      </w:pPr>
      <w:r>
        <w:rPr>
          <w:b/>
          <w:spacing w:val="-4"/>
        </w:rPr>
        <w:lastRenderedPageBreak/>
        <w:t>Пример оформления статьи</w:t>
      </w:r>
    </w:p>
    <w:p w:rsidR="00204D51" w:rsidRDefault="00204D51" w:rsidP="00B678E4">
      <w:pPr>
        <w:jc w:val="center"/>
        <w:rPr>
          <w:b/>
          <w:spacing w:val="-4"/>
        </w:rPr>
      </w:pPr>
    </w:p>
    <w:p w:rsidR="00B678E4" w:rsidRPr="00204D51" w:rsidRDefault="00B678E4" w:rsidP="00B678E4">
      <w:pPr>
        <w:ind w:firstLine="709"/>
        <w:jc w:val="center"/>
        <w:rPr>
          <w:b/>
          <w:spacing w:val="-4"/>
          <w:sz w:val="28"/>
          <w:szCs w:val="28"/>
        </w:rPr>
      </w:pPr>
    </w:p>
    <w:p w:rsidR="00204D51" w:rsidRPr="00204D51" w:rsidRDefault="00204D51" w:rsidP="00B678E4">
      <w:pPr>
        <w:pStyle w:val="a3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204D51">
        <w:rPr>
          <w:rFonts w:ascii="Times New Roman" w:hAnsi="Times New Roman"/>
          <w:b/>
          <w:i/>
          <w:spacing w:val="-4"/>
          <w:sz w:val="28"/>
          <w:szCs w:val="28"/>
        </w:rPr>
        <w:t>Эффективность контроля государственного управления</w:t>
      </w:r>
    </w:p>
    <w:p w:rsidR="00B678E4" w:rsidRPr="00E40C50" w:rsidRDefault="00B678E4" w:rsidP="00B678E4">
      <w:pPr>
        <w:jc w:val="right"/>
        <w:rPr>
          <w:i/>
          <w:spacing w:val="-4"/>
        </w:rPr>
      </w:pPr>
      <w:r w:rsidRPr="00E40C50">
        <w:rPr>
          <w:i/>
          <w:spacing w:val="-4"/>
        </w:rPr>
        <w:t>Студент группы 171-661: Петров А.А.</w:t>
      </w:r>
      <w:r w:rsidRPr="00E40C50">
        <w:rPr>
          <w:i/>
          <w:spacing w:val="-4"/>
        </w:rPr>
        <w:br/>
        <w:t>Научный  руководитель: доцент Сидоров П.П.</w:t>
      </w:r>
    </w:p>
    <w:p w:rsidR="00B678E4" w:rsidRPr="00E40C50" w:rsidRDefault="00B678E4" w:rsidP="00B678E4">
      <w:pPr>
        <w:ind w:firstLine="851"/>
        <w:jc w:val="right"/>
        <w:rPr>
          <w:rFonts w:cstheme="minorBidi"/>
          <w:i/>
          <w:spacing w:val="-4"/>
        </w:rPr>
      </w:pPr>
      <w:r w:rsidRPr="00E40C50">
        <w:rPr>
          <w:i/>
          <w:spacing w:val="-4"/>
        </w:rPr>
        <w:t xml:space="preserve">Московский </w:t>
      </w:r>
      <w:proofErr w:type="spellStart"/>
      <w:r w:rsidRPr="00E40C50">
        <w:rPr>
          <w:i/>
          <w:spacing w:val="-4"/>
        </w:rPr>
        <w:t>Политех</w:t>
      </w:r>
      <w:proofErr w:type="spellEnd"/>
      <w:r w:rsidRPr="00E40C50">
        <w:rPr>
          <w:i/>
          <w:spacing w:val="-4"/>
        </w:rPr>
        <w:t>,</w:t>
      </w:r>
    </w:p>
    <w:p w:rsidR="00B678E4" w:rsidRPr="00E40C50" w:rsidRDefault="00B678E4" w:rsidP="00B678E4">
      <w:pPr>
        <w:ind w:firstLine="851"/>
        <w:jc w:val="right"/>
        <w:rPr>
          <w:i/>
          <w:spacing w:val="-4"/>
        </w:rPr>
      </w:pPr>
      <w:r w:rsidRPr="00E40C50">
        <w:rPr>
          <w:i/>
          <w:spacing w:val="-4"/>
        </w:rPr>
        <w:t>Кафедра «Государственное управление и право»</w:t>
      </w:r>
    </w:p>
    <w:p w:rsidR="0033649E" w:rsidRDefault="0033649E" w:rsidP="00B678E4">
      <w:pPr>
        <w:ind w:firstLine="851"/>
        <w:jc w:val="right"/>
        <w:rPr>
          <w:spacing w:val="-4"/>
          <w:sz w:val="20"/>
        </w:rPr>
      </w:pPr>
    </w:p>
    <w:p w:rsidR="0033649E" w:rsidRPr="00A358D2" w:rsidRDefault="0033649E" w:rsidP="0033649E">
      <w:pPr>
        <w:ind w:firstLine="851"/>
        <w:jc w:val="center"/>
        <w:rPr>
          <w:b/>
          <w:i/>
          <w:spacing w:val="-4"/>
          <w:sz w:val="28"/>
          <w:szCs w:val="28"/>
          <w:lang w:val="en-US"/>
        </w:rPr>
      </w:pPr>
      <w:r w:rsidRPr="0033649E">
        <w:rPr>
          <w:b/>
          <w:i/>
          <w:spacing w:val="-4"/>
          <w:sz w:val="28"/>
          <w:szCs w:val="28"/>
          <w:lang w:val="en-US"/>
        </w:rPr>
        <w:t>The effectiveness of control of public administration</w:t>
      </w:r>
    </w:p>
    <w:p w:rsidR="0033649E" w:rsidRPr="00E40C50" w:rsidRDefault="0033649E" w:rsidP="00B678E4">
      <w:pPr>
        <w:ind w:firstLine="851"/>
        <w:jc w:val="right"/>
        <w:rPr>
          <w:i/>
          <w:spacing w:val="-4"/>
          <w:lang w:val="en-US"/>
        </w:rPr>
      </w:pPr>
      <w:r w:rsidRPr="00E40C50">
        <w:rPr>
          <w:i/>
          <w:spacing w:val="-4"/>
          <w:lang w:val="en-US"/>
        </w:rPr>
        <w:t xml:space="preserve">Student group 171-661: </w:t>
      </w:r>
      <w:proofErr w:type="spellStart"/>
      <w:r w:rsidRPr="00E40C50">
        <w:rPr>
          <w:i/>
          <w:spacing w:val="-4"/>
          <w:lang w:val="en-US"/>
        </w:rPr>
        <w:t>Petrov</w:t>
      </w:r>
      <w:proofErr w:type="spellEnd"/>
      <w:r w:rsidRPr="00E40C50">
        <w:rPr>
          <w:i/>
          <w:spacing w:val="-4"/>
          <w:lang w:val="en-US"/>
        </w:rPr>
        <w:t xml:space="preserve"> A.A. </w:t>
      </w:r>
    </w:p>
    <w:p w:rsidR="0033649E" w:rsidRPr="00E40C50" w:rsidRDefault="0033649E" w:rsidP="00B678E4">
      <w:pPr>
        <w:ind w:firstLine="851"/>
        <w:jc w:val="right"/>
        <w:rPr>
          <w:i/>
          <w:spacing w:val="-4"/>
          <w:lang w:val="en-US"/>
        </w:rPr>
      </w:pPr>
      <w:r w:rsidRPr="00E40C50">
        <w:rPr>
          <w:i/>
          <w:spacing w:val="-4"/>
          <w:lang w:val="en-US"/>
        </w:rPr>
        <w:t xml:space="preserve">Supervisor: associate Professor </w:t>
      </w:r>
      <w:proofErr w:type="spellStart"/>
      <w:r w:rsidRPr="00E40C50">
        <w:rPr>
          <w:i/>
          <w:spacing w:val="-4"/>
          <w:lang w:val="en-US"/>
        </w:rPr>
        <w:t>Sidorov</w:t>
      </w:r>
      <w:proofErr w:type="spellEnd"/>
      <w:r w:rsidRPr="00E40C50">
        <w:rPr>
          <w:i/>
          <w:spacing w:val="-4"/>
          <w:lang w:val="en-US"/>
        </w:rPr>
        <w:t xml:space="preserve"> </w:t>
      </w:r>
      <w:r w:rsidRPr="00E40C50">
        <w:rPr>
          <w:i/>
          <w:spacing w:val="-4"/>
        </w:rPr>
        <w:t>Р</w:t>
      </w:r>
      <w:r w:rsidRPr="00E40C50">
        <w:rPr>
          <w:i/>
          <w:spacing w:val="-4"/>
          <w:lang w:val="en-US"/>
        </w:rPr>
        <w:t>. P</w:t>
      </w:r>
    </w:p>
    <w:p w:rsidR="0033649E" w:rsidRPr="00E40C50" w:rsidRDefault="0033649E" w:rsidP="00B678E4">
      <w:pPr>
        <w:ind w:firstLine="851"/>
        <w:jc w:val="right"/>
        <w:rPr>
          <w:i/>
          <w:spacing w:val="-4"/>
          <w:lang w:val="en-US"/>
        </w:rPr>
      </w:pPr>
      <w:r w:rsidRPr="00E40C50">
        <w:rPr>
          <w:i/>
          <w:spacing w:val="-4"/>
          <w:lang w:val="en-US"/>
        </w:rPr>
        <w:t xml:space="preserve"> Moscow Polytechnic University,</w:t>
      </w:r>
    </w:p>
    <w:p w:rsidR="0033649E" w:rsidRPr="00E40C50" w:rsidRDefault="0033649E" w:rsidP="00B678E4">
      <w:pPr>
        <w:ind w:firstLine="851"/>
        <w:jc w:val="right"/>
        <w:rPr>
          <w:i/>
          <w:spacing w:val="-4"/>
          <w:lang w:val="en-US"/>
        </w:rPr>
      </w:pPr>
      <w:r w:rsidRPr="00E40C50">
        <w:rPr>
          <w:i/>
          <w:spacing w:val="-4"/>
          <w:lang w:val="en-US"/>
        </w:rPr>
        <w:t xml:space="preserve"> Department </w:t>
      </w:r>
      <w:proofErr w:type="gramStart"/>
      <w:r w:rsidRPr="00E40C50">
        <w:rPr>
          <w:i/>
          <w:spacing w:val="-4"/>
          <w:lang w:val="en-US"/>
        </w:rPr>
        <w:t>of  Public</w:t>
      </w:r>
      <w:proofErr w:type="gramEnd"/>
      <w:r w:rsidRPr="00E40C50">
        <w:rPr>
          <w:i/>
          <w:spacing w:val="-4"/>
          <w:lang w:val="en-US"/>
        </w:rPr>
        <w:t xml:space="preserve"> administration  and  law</w:t>
      </w:r>
    </w:p>
    <w:p w:rsidR="00B678E4" w:rsidRPr="005F22E7" w:rsidRDefault="00B678E4" w:rsidP="00B678E4">
      <w:pPr>
        <w:rPr>
          <w:spacing w:val="-4"/>
          <w:sz w:val="28"/>
          <w:szCs w:val="28"/>
          <w:lang w:val="en-US"/>
        </w:rPr>
      </w:pPr>
    </w:p>
    <w:p w:rsidR="00B678E4" w:rsidRPr="00E40C50" w:rsidRDefault="00B678E4" w:rsidP="0045575A">
      <w:pPr>
        <w:ind w:firstLine="709"/>
        <w:jc w:val="both"/>
        <w:rPr>
          <w:spacing w:val="-4"/>
        </w:rPr>
      </w:pPr>
      <w:r w:rsidRPr="00E40C50">
        <w:rPr>
          <w:i/>
          <w:spacing w:val="-4"/>
        </w:rPr>
        <w:t xml:space="preserve">Аннотация. </w:t>
      </w:r>
      <w:r w:rsidRPr="00E40C50">
        <w:rPr>
          <w:spacing w:val="-4"/>
        </w:rPr>
        <w:t xml:space="preserve">В статье </w:t>
      </w:r>
      <w:r w:rsidR="0045575A" w:rsidRPr="00E40C50">
        <w:rPr>
          <w:spacing w:val="-4"/>
        </w:rPr>
        <w:t xml:space="preserve">рассматриваются вопросы эффективности контроля государственного управления, излагаются особенности нормативно-правового регулирования, цели, задачи и принципы. </w:t>
      </w:r>
      <w:r w:rsidRPr="00E40C50">
        <w:rPr>
          <w:spacing w:val="-4"/>
        </w:rPr>
        <w:t xml:space="preserve"> </w:t>
      </w:r>
    </w:p>
    <w:p w:rsidR="00B678E4" w:rsidRPr="00E40C50" w:rsidRDefault="00B678E4" w:rsidP="0045575A">
      <w:pPr>
        <w:ind w:firstLine="709"/>
        <w:jc w:val="both"/>
        <w:rPr>
          <w:spacing w:val="-4"/>
        </w:rPr>
      </w:pPr>
      <w:r w:rsidRPr="00E40C50">
        <w:rPr>
          <w:i/>
          <w:spacing w:val="-4"/>
        </w:rPr>
        <w:t xml:space="preserve">Ключевые слова: </w:t>
      </w:r>
      <w:r w:rsidR="0045575A" w:rsidRPr="00E40C50">
        <w:rPr>
          <w:spacing w:val="-4"/>
        </w:rPr>
        <w:t>государственный и общественный контроль, местное самоуправление</w:t>
      </w:r>
      <w:r w:rsidRPr="00E40C50">
        <w:rPr>
          <w:spacing w:val="-4"/>
        </w:rPr>
        <w:t>.</w:t>
      </w:r>
    </w:p>
    <w:p w:rsidR="00B678E4" w:rsidRPr="00E40C50" w:rsidRDefault="00B678E4" w:rsidP="00F24476">
      <w:pPr>
        <w:ind w:firstLine="709"/>
        <w:jc w:val="both"/>
        <w:rPr>
          <w:spacing w:val="-4"/>
        </w:rPr>
      </w:pPr>
    </w:p>
    <w:p w:rsidR="00B678E4" w:rsidRPr="00E40C50" w:rsidRDefault="00B678E4" w:rsidP="00F24476">
      <w:pPr>
        <w:ind w:firstLine="709"/>
        <w:jc w:val="both"/>
        <w:rPr>
          <w:spacing w:val="-4"/>
          <w:lang w:val="en-US"/>
        </w:rPr>
      </w:pPr>
      <w:proofErr w:type="gramStart"/>
      <w:r w:rsidRPr="00E40C50">
        <w:rPr>
          <w:i/>
          <w:spacing w:val="-4"/>
          <w:lang w:val="en-US"/>
        </w:rPr>
        <w:t>Annotation.</w:t>
      </w:r>
      <w:proofErr w:type="gramEnd"/>
      <w:r w:rsidRPr="00E40C50">
        <w:rPr>
          <w:spacing w:val="-4"/>
          <w:lang w:val="en-US"/>
        </w:rPr>
        <w:t xml:space="preserve"> </w:t>
      </w:r>
      <w:r w:rsidR="0045575A" w:rsidRPr="00E40C50">
        <w:rPr>
          <w:spacing w:val="-4"/>
          <w:lang w:val="en-US"/>
        </w:rPr>
        <w:t>This article discusses the effec</w:t>
      </w:r>
      <w:r w:rsidR="00C34DB1" w:rsidRPr="00E40C50">
        <w:rPr>
          <w:spacing w:val="-4"/>
          <w:lang w:val="en-US"/>
        </w:rPr>
        <w:t>tiveness of the control of public administration</w:t>
      </w:r>
      <w:r w:rsidRPr="00E40C50">
        <w:rPr>
          <w:spacing w:val="-4"/>
          <w:lang w:val="en-US"/>
        </w:rPr>
        <w:t>.</w:t>
      </w:r>
      <w:r w:rsidR="00C34DB1" w:rsidRPr="00E40C50">
        <w:rPr>
          <w:spacing w:val="-4"/>
          <w:lang w:val="en-US"/>
        </w:rPr>
        <w:t xml:space="preserve"> For this purpose, the features of legal regulation, goals, objectives and principles are set out. The main attention is paid to public control of public administration.</w:t>
      </w:r>
    </w:p>
    <w:p w:rsidR="00B678E4" w:rsidRPr="00E40C50" w:rsidRDefault="00B678E4" w:rsidP="0045575A">
      <w:pPr>
        <w:ind w:firstLine="709"/>
        <w:jc w:val="both"/>
        <w:rPr>
          <w:spacing w:val="-4"/>
          <w:lang w:val="en-US"/>
        </w:rPr>
      </w:pPr>
      <w:r w:rsidRPr="00E40C50">
        <w:rPr>
          <w:i/>
          <w:spacing w:val="-4"/>
          <w:lang w:val="en-US"/>
        </w:rPr>
        <w:t>Key words:</w:t>
      </w:r>
      <w:r w:rsidRPr="00E40C50">
        <w:rPr>
          <w:spacing w:val="-4"/>
          <w:lang w:val="en-US"/>
        </w:rPr>
        <w:t xml:space="preserve"> </w:t>
      </w:r>
      <w:r w:rsidR="0045575A" w:rsidRPr="00E40C50">
        <w:rPr>
          <w:spacing w:val="-4"/>
          <w:lang w:val="en-US"/>
        </w:rPr>
        <w:t>state control, public control, local government, public organization</w:t>
      </w:r>
      <w:r w:rsidRPr="00E40C50">
        <w:rPr>
          <w:spacing w:val="-4"/>
          <w:lang w:val="en-US"/>
        </w:rPr>
        <w:t>.</w:t>
      </w:r>
    </w:p>
    <w:p w:rsidR="00B678E4" w:rsidRPr="00A358D2" w:rsidRDefault="00B678E4" w:rsidP="0045575A">
      <w:pPr>
        <w:ind w:firstLine="709"/>
        <w:jc w:val="both"/>
        <w:rPr>
          <w:spacing w:val="-4"/>
          <w:sz w:val="28"/>
          <w:szCs w:val="28"/>
          <w:lang w:val="en-US"/>
        </w:rPr>
      </w:pPr>
    </w:p>
    <w:p w:rsidR="00B678E4" w:rsidRPr="00E40C50" w:rsidRDefault="00B678E4" w:rsidP="00F24476">
      <w:pPr>
        <w:ind w:firstLine="709"/>
        <w:jc w:val="both"/>
        <w:rPr>
          <w:spacing w:val="-4"/>
          <w:sz w:val="28"/>
          <w:szCs w:val="28"/>
        </w:rPr>
      </w:pPr>
      <w:r w:rsidRPr="00E40C50">
        <w:rPr>
          <w:spacing w:val="-4"/>
          <w:sz w:val="28"/>
          <w:szCs w:val="28"/>
        </w:rPr>
        <w:t>Те</w:t>
      </w:r>
      <w:proofErr w:type="gramStart"/>
      <w:r w:rsidRPr="00E40C50">
        <w:rPr>
          <w:spacing w:val="-4"/>
          <w:sz w:val="28"/>
          <w:szCs w:val="28"/>
        </w:rPr>
        <w:t>кст ст</w:t>
      </w:r>
      <w:proofErr w:type="gramEnd"/>
      <w:r w:rsidRPr="00E40C50">
        <w:rPr>
          <w:spacing w:val="-4"/>
          <w:sz w:val="28"/>
          <w:szCs w:val="28"/>
        </w:rPr>
        <w:t>атьи.</w:t>
      </w:r>
    </w:p>
    <w:p w:rsidR="00B678E4" w:rsidRPr="00204D51" w:rsidRDefault="00B678E4" w:rsidP="00F24476">
      <w:pPr>
        <w:rPr>
          <w:b/>
          <w:spacing w:val="-4"/>
          <w:sz w:val="20"/>
          <w:szCs w:val="28"/>
        </w:rPr>
      </w:pPr>
    </w:p>
    <w:p w:rsidR="00B678E4" w:rsidRPr="00E40C50" w:rsidRDefault="00B678E4" w:rsidP="00F24476">
      <w:pPr>
        <w:jc w:val="center"/>
        <w:rPr>
          <w:b/>
          <w:spacing w:val="-4"/>
          <w:sz w:val="28"/>
          <w:szCs w:val="28"/>
        </w:rPr>
      </w:pPr>
      <w:r w:rsidRPr="00E40C50">
        <w:rPr>
          <w:b/>
          <w:spacing w:val="-4"/>
          <w:sz w:val="28"/>
          <w:szCs w:val="28"/>
        </w:rPr>
        <w:t>Литература</w:t>
      </w:r>
    </w:p>
    <w:p w:rsidR="00B678E4" w:rsidRPr="00E40C50" w:rsidRDefault="00B678E4" w:rsidP="00F24476">
      <w:pPr>
        <w:rPr>
          <w:spacing w:val="-4"/>
          <w:sz w:val="28"/>
          <w:szCs w:val="28"/>
        </w:rPr>
      </w:pPr>
      <w:r w:rsidRPr="00E40C50">
        <w:rPr>
          <w:spacing w:val="-4"/>
          <w:sz w:val="28"/>
          <w:szCs w:val="28"/>
        </w:rPr>
        <w:t xml:space="preserve">1. Федеральный закон </w:t>
      </w:r>
      <w:r w:rsidR="00C34DB1" w:rsidRPr="00E40C50">
        <w:rPr>
          <w:spacing w:val="-4"/>
          <w:sz w:val="28"/>
          <w:szCs w:val="28"/>
        </w:rPr>
        <w:t xml:space="preserve"> от 21 июля 2014 г. </w:t>
      </w:r>
      <w:r w:rsidRPr="00E40C50">
        <w:rPr>
          <w:spacing w:val="-4"/>
          <w:sz w:val="28"/>
          <w:szCs w:val="28"/>
        </w:rPr>
        <w:t xml:space="preserve">№ </w:t>
      </w:r>
      <w:r w:rsidR="00C34DB1" w:rsidRPr="00E40C50">
        <w:rPr>
          <w:spacing w:val="-4"/>
          <w:sz w:val="28"/>
          <w:szCs w:val="28"/>
        </w:rPr>
        <w:t>212</w:t>
      </w:r>
      <w:r w:rsidRPr="00E40C50">
        <w:rPr>
          <w:spacing w:val="-4"/>
          <w:sz w:val="28"/>
          <w:szCs w:val="28"/>
        </w:rPr>
        <w:t xml:space="preserve">-ФЗ </w:t>
      </w:r>
      <w:r w:rsidR="00C34DB1" w:rsidRPr="00E40C50">
        <w:rPr>
          <w:spacing w:val="-4"/>
          <w:sz w:val="28"/>
          <w:szCs w:val="28"/>
        </w:rPr>
        <w:t>«Об основах общественного контроля в Российской Федерации»</w:t>
      </w:r>
      <w:r w:rsidRPr="00E40C50">
        <w:rPr>
          <w:spacing w:val="-4"/>
          <w:sz w:val="28"/>
          <w:szCs w:val="28"/>
        </w:rPr>
        <w:t xml:space="preserve"> (</w:t>
      </w:r>
      <w:r w:rsidR="00C34DB1" w:rsidRPr="00E40C50">
        <w:rPr>
          <w:spacing w:val="-4"/>
          <w:sz w:val="28"/>
          <w:szCs w:val="28"/>
        </w:rPr>
        <w:t>с изменениями и дополнениями</w:t>
      </w:r>
      <w:r w:rsidRPr="00E40C50">
        <w:rPr>
          <w:spacing w:val="-4"/>
          <w:sz w:val="28"/>
          <w:szCs w:val="28"/>
        </w:rPr>
        <w:t xml:space="preserve">). </w:t>
      </w:r>
    </w:p>
    <w:p w:rsidR="00B678E4" w:rsidRPr="00E40C50" w:rsidRDefault="00B678E4" w:rsidP="00F24476">
      <w:pPr>
        <w:jc w:val="both"/>
        <w:rPr>
          <w:spacing w:val="-4"/>
          <w:sz w:val="28"/>
          <w:szCs w:val="28"/>
        </w:rPr>
      </w:pPr>
      <w:r w:rsidRPr="00E40C50">
        <w:rPr>
          <w:spacing w:val="-4"/>
          <w:sz w:val="28"/>
          <w:szCs w:val="28"/>
        </w:rPr>
        <w:t xml:space="preserve">2. </w:t>
      </w:r>
      <w:r w:rsidR="00C34DB1" w:rsidRPr="00E40C50">
        <w:rPr>
          <w:spacing w:val="-4"/>
          <w:sz w:val="28"/>
          <w:szCs w:val="28"/>
        </w:rPr>
        <w:t xml:space="preserve">Яновский В.В., Кирсанов С.А. Государственное и муниципальное управление. Введение в специальность. </w:t>
      </w:r>
      <w:r w:rsidR="006103CA" w:rsidRPr="00E40C50">
        <w:rPr>
          <w:spacing w:val="-4"/>
          <w:sz w:val="28"/>
          <w:szCs w:val="28"/>
        </w:rPr>
        <w:t>– М.: КНОРУС, 2016.- 200 с.</w:t>
      </w:r>
    </w:p>
    <w:p w:rsidR="00B678E4" w:rsidRPr="00E40C50" w:rsidRDefault="00B678E4" w:rsidP="00B678E4">
      <w:pPr>
        <w:rPr>
          <w:sz w:val="28"/>
          <w:szCs w:val="28"/>
        </w:rPr>
      </w:pPr>
    </w:p>
    <w:p w:rsidR="00B678E4" w:rsidRPr="00E40C50" w:rsidRDefault="00B678E4" w:rsidP="00B678E4">
      <w:pPr>
        <w:jc w:val="center"/>
        <w:rPr>
          <w:b/>
          <w:sz w:val="28"/>
          <w:szCs w:val="28"/>
        </w:rPr>
      </w:pPr>
    </w:p>
    <w:p w:rsidR="00B678E4" w:rsidRDefault="00B678E4" w:rsidP="00B678E4">
      <w:pPr>
        <w:jc w:val="center"/>
        <w:rPr>
          <w:b/>
          <w:sz w:val="22"/>
        </w:rPr>
      </w:pPr>
      <w:r>
        <w:rPr>
          <w:b/>
        </w:rPr>
        <w:t>ПУБЛИКАЦИЯ СТАТЕЙ И ДОКЛАДОВ КОНФЕРЕНЦИИ</w:t>
      </w:r>
    </w:p>
    <w:p w:rsidR="00B678E4" w:rsidRDefault="00B678E4" w:rsidP="00B678E4">
      <w:pPr>
        <w:jc w:val="center"/>
        <w:rPr>
          <w:sz w:val="12"/>
        </w:rPr>
      </w:pPr>
    </w:p>
    <w:p w:rsidR="00B678E4" w:rsidRDefault="00B678E4" w:rsidP="00F24476">
      <w:pPr>
        <w:ind w:firstLine="426"/>
        <w:jc w:val="both"/>
        <w:rPr>
          <w:spacing w:val="-4"/>
          <w:sz w:val="22"/>
        </w:rPr>
      </w:pPr>
      <w:r>
        <w:rPr>
          <w:spacing w:val="-4"/>
        </w:rPr>
        <w:t xml:space="preserve">Доклады на конференцию публикуются в сборнике материалов </w:t>
      </w:r>
      <w:r>
        <w:rPr>
          <w:b/>
          <w:i/>
          <w:spacing w:val="-4"/>
        </w:rPr>
        <w:t>бесплатно</w:t>
      </w:r>
      <w:r>
        <w:rPr>
          <w:spacing w:val="-4"/>
        </w:rPr>
        <w:t>. Сборник в электронном виде будет доступен на сайте кафедры после проведения конференции.</w:t>
      </w:r>
    </w:p>
    <w:p w:rsidR="00B678E4" w:rsidRDefault="00B678E4" w:rsidP="00B678E4">
      <w:pPr>
        <w:ind w:firstLine="426"/>
        <w:jc w:val="both"/>
        <w:rPr>
          <w:sz w:val="12"/>
        </w:rPr>
      </w:pPr>
    </w:p>
    <w:p w:rsidR="00B678E4" w:rsidRDefault="00B678E4" w:rsidP="00B678E4">
      <w:pPr>
        <w:jc w:val="center"/>
        <w:rPr>
          <w:b/>
          <w:sz w:val="22"/>
        </w:rPr>
      </w:pPr>
      <w:r>
        <w:rPr>
          <w:b/>
        </w:rPr>
        <w:t>МАТЕРИАЛЫ КОНФЕРЕНЦИИ</w:t>
      </w:r>
    </w:p>
    <w:p w:rsidR="00B678E4" w:rsidRDefault="00B678E4" w:rsidP="00B678E4">
      <w:pPr>
        <w:jc w:val="center"/>
        <w:rPr>
          <w:sz w:val="12"/>
        </w:rPr>
      </w:pPr>
    </w:p>
    <w:p w:rsidR="00B678E4" w:rsidRDefault="00B678E4" w:rsidP="00B678E4">
      <w:pPr>
        <w:ind w:firstLine="426"/>
        <w:jc w:val="both"/>
        <w:rPr>
          <w:spacing w:val="-4"/>
          <w:sz w:val="22"/>
        </w:rPr>
      </w:pPr>
      <w:r w:rsidRPr="00E40C50">
        <w:rPr>
          <w:spacing w:val="-4"/>
        </w:rPr>
        <w:t xml:space="preserve">Материалы </w:t>
      </w:r>
      <w:r w:rsidR="00E40C50">
        <w:rPr>
          <w:spacing w:val="-4"/>
        </w:rPr>
        <w:t xml:space="preserve">и Заявка на участие </w:t>
      </w:r>
      <w:r w:rsidRPr="00E40C50">
        <w:rPr>
          <w:spacing w:val="-4"/>
        </w:rPr>
        <w:t xml:space="preserve">направляются на электронную почту </w:t>
      </w:r>
      <w:hyperlink r:id="rId11" w:history="1">
        <w:r w:rsidR="00E40C50" w:rsidRPr="009D1E07">
          <w:rPr>
            <w:rStyle w:val="a5"/>
            <w:lang w:val="en-US"/>
          </w:rPr>
          <w:t>conf</w:t>
        </w:r>
        <w:r w:rsidR="00E40C50" w:rsidRPr="009D1E07">
          <w:rPr>
            <w:rStyle w:val="a5"/>
          </w:rPr>
          <w:t>2019@</w:t>
        </w:r>
        <w:r w:rsidR="00E40C50" w:rsidRPr="009D1E07">
          <w:rPr>
            <w:rStyle w:val="a5"/>
            <w:lang w:val="en-US"/>
          </w:rPr>
          <w:t>mospolytech</w:t>
        </w:r>
        <w:r w:rsidR="00E40C50" w:rsidRPr="009D1E07">
          <w:rPr>
            <w:rStyle w:val="a5"/>
          </w:rPr>
          <w:t>.</w:t>
        </w:r>
        <w:proofErr w:type="spellStart"/>
        <w:r w:rsidR="00E40C50" w:rsidRPr="009D1E07">
          <w:rPr>
            <w:rStyle w:val="a5"/>
            <w:lang w:val="en-US"/>
          </w:rPr>
          <w:t>ru</w:t>
        </w:r>
        <w:proofErr w:type="spellEnd"/>
      </w:hyperlink>
      <w:r w:rsidR="00E40C50" w:rsidRPr="00E40C50">
        <w:t xml:space="preserve"> </w:t>
      </w:r>
      <w:r w:rsidRPr="00E40C50">
        <w:rPr>
          <w:spacing w:val="-4"/>
        </w:rPr>
        <w:t>отдельным</w:t>
      </w:r>
      <w:r w:rsidR="00E40C50">
        <w:rPr>
          <w:spacing w:val="-4"/>
        </w:rPr>
        <w:t>и</w:t>
      </w:r>
      <w:r w:rsidRPr="00E40C50">
        <w:rPr>
          <w:spacing w:val="-4"/>
        </w:rPr>
        <w:t xml:space="preserve"> файл</w:t>
      </w:r>
      <w:r w:rsidR="00E40C50">
        <w:rPr>
          <w:spacing w:val="-4"/>
        </w:rPr>
        <w:t>ами</w:t>
      </w:r>
      <w:r w:rsidR="00170A3C" w:rsidRPr="00E40C50">
        <w:rPr>
          <w:spacing w:val="-4"/>
        </w:rPr>
        <w:t>. В теме письма просьба указать «конференция</w:t>
      </w:r>
      <w:r w:rsidR="00E40C50">
        <w:rPr>
          <w:spacing w:val="-4"/>
        </w:rPr>
        <w:t xml:space="preserve"> </w:t>
      </w:r>
      <w:r w:rsidR="00170A3C" w:rsidRPr="00E40C50">
        <w:rPr>
          <w:spacing w:val="-4"/>
        </w:rPr>
        <w:t xml:space="preserve"> 2019» и фамилию.</w:t>
      </w:r>
      <w:r>
        <w:rPr>
          <w:spacing w:val="-4"/>
        </w:rPr>
        <w:t xml:space="preserve"> </w:t>
      </w:r>
      <w:r w:rsidR="00170A3C">
        <w:rPr>
          <w:spacing w:val="-4"/>
        </w:rPr>
        <w:t xml:space="preserve"> </w:t>
      </w:r>
    </w:p>
    <w:p w:rsidR="00B678E4" w:rsidRDefault="00B678E4" w:rsidP="00B678E4">
      <w:pPr>
        <w:ind w:firstLine="426"/>
        <w:jc w:val="both"/>
        <w:rPr>
          <w:sz w:val="12"/>
        </w:rPr>
      </w:pPr>
    </w:p>
    <w:p w:rsidR="0045575A" w:rsidRDefault="0045575A" w:rsidP="00B678E4">
      <w:pPr>
        <w:jc w:val="center"/>
        <w:rPr>
          <w:b/>
        </w:rPr>
      </w:pPr>
    </w:p>
    <w:p w:rsidR="00E40C50" w:rsidRPr="00A358D2" w:rsidRDefault="00E40C50" w:rsidP="0045575A">
      <w:pPr>
        <w:pStyle w:val="H4"/>
        <w:spacing w:before="0" w:after="0"/>
        <w:ind w:left="357" w:right="357"/>
        <w:jc w:val="center"/>
      </w:pPr>
    </w:p>
    <w:p w:rsidR="00E40C50" w:rsidRPr="00A358D2" w:rsidRDefault="00E40C50" w:rsidP="0045575A">
      <w:pPr>
        <w:pStyle w:val="H4"/>
        <w:spacing w:before="0" w:after="0"/>
        <w:ind w:left="357" w:right="357"/>
        <w:jc w:val="center"/>
      </w:pPr>
    </w:p>
    <w:p w:rsidR="00A358D2" w:rsidRDefault="00A358D2" w:rsidP="0045575A">
      <w:pPr>
        <w:pStyle w:val="H4"/>
        <w:spacing w:before="0" w:after="0"/>
        <w:ind w:left="357" w:right="357"/>
        <w:jc w:val="center"/>
      </w:pPr>
    </w:p>
    <w:p w:rsidR="0045575A" w:rsidRDefault="0045575A" w:rsidP="0045575A">
      <w:pPr>
        <w:pStyle w:val="H4"/>
        <w:spacing w:before="0" w:after="0"/>
        <w:ind w:left="357" w:right="357"/>
        <w:jc w:val="center"/>
      </w:pPr>
      <w:r>
        <w:t>ФОРМА ЗАЯВКИ</w:t>
      </w:r>
    </w:p>
    <w:p w:rsidR="0045575A" w:rsidRDefault="0045575A" w:rsidP="0045575A">
      <w:pPr>
        <w:pStyle w:val="H4"/>
        <w:spacing w:before="0" w:after="0"/>
        <w:ind w:left="357" w:right="357"/>
        <w:jc w:val="center"/>
        <w:rPr>
          <w:szCs w:val="24"/>
        </w:rPr>
      </w:pPr>
      <w:r>
        <w:rPr>
          <w:szCs w:val="24"/>
        </w:rPr>
        <w:t>на участие во Всероссийской научно-практической конференции</w:t>
      </w:r>
    </w:p>
    <w:p w:rsidR="0045575A" w:rsidRDefault="0045575A" w:rsidP="0045575A">
      <w:pPr>
        <w:pStyle w:val="H4"/>
        <w:spacing w:before="0" w:after="0"/>
        <w:ind w:left="360" w:right="360"/>
        <w:jc w:val="center"/>
      </w:pPr>
      <w:r>
        <w:t xml:space="preserve"> «Личность, общество, власть 02/2019»</w:t>
      </w:r>
    </w:p>
    <w:p w:rsidR="0045575A" w:rsidRDefault="0045575A" w:rsidP="0045575A">
      <w:pPr>
        <w:pStyle w:val="Normal1"/>
        <w:tabs>
          <w:tab w:val="left" w:pos="2940"/>
          <w:tab w:val="center" w:pos="4677"/>
        </w:tabs>
        <w:spacing w:before="0" w:after="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25 апреля 2019 г., Москва, </w:t>
      </w:r>
      <w:proofErr w:type="spellStart"/>
      <w:r>
        <w:rPr>
          <w:b/>
          <w:szCs w:val="24"/>
        </w:rPr>
        <w:t>Мосполитех</w:t>
      </w:r>
      <w:proofErr w:type="spellEnd"/>
    </w:p>
    <w:p w:rsidR="0045575A" w:rsidRDefault="0045575A" w:rsidP="0045575A">
      <w:pPr>
        <w:pStyle w:val="Normal1"/>
        <w:tabs>
          <w:tab w:val="left" w:pos="2940"/>
          <w:tab w:val="center" w:pos="4677"/>
        </w:tabs>
        <w:spacing w:before="0" w:after="0"/>
        <w:rPr>
          <w:b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45575A" w:rsidTr="0045575A">
        <w:trPr>
          <w:trHeight w:val="56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t>Фамилия, Имя, Отчество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56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t>Место учебы (с указанием шифра учебной группы для студентов), работы, должность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56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</w:pPr>
            <w:r>
              <w:t>Направление конференции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5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t xml:space="preserve">Название доклада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18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t>Научный руководитель (для студентов и аспирантов)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18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</w:pPr>
            <w:r>
              <w:t>Форма участия (очная, заочная)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18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t>Контактный телефон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  <w:tr w:rsidR="0045575A" w:rsidTr="0045575A">
        <w:trPr>
          <w:trHeight w:val="18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A" w:rsidRDefault="0045575A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A" w:rsidRDefault="004557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75A" w:rsidRDefault="0045575A" w:rsidP="00B678E4">
      <w:pPr>
        <w:jc w:val="center"/>
        <w:rPr>
          <w:b/>
        </w:rPr>
      </w:pPr>
    </w:p>
    <w:p w:rsidR="0045575A" w:rsidRDefault="0045575A" w:rsidP="00B678E4">
      <w:pPr>
        <w:jc w:val="center"/>
        <w:rPr>
          <w:b/>
        </w:rPr>
      </w:pPr>
    </w:p>
    <w:p w:rsidR="0045575A" w:rsidRDefault="0045575A" w:rsidP="00B678E4">
      <w:pPr>
        <w:jc w:val="center"/>
        <w:rPr>
          <w:b/>
        </w:rPr>
      </w:pPr>
    </w:p>
    <w:p w:rsidR="0045575A" w:rsidRDefault="0045575A" w:rsidP="00B678E4">
      <w:pPr>
        <w:jc w:val="center"/>
        <w:rPr>
          <w:b/>
        </w:rPr>
      </w:pPr>
    </w:p>
    <w:sectPr w:rsidR="0045575A" w:rsidSect="00B678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62" w:rsidRDefault="00224462" w:rsidP="006B1541">
      <w:r>
        <w:separator/>
      </w:r>
    </w:p>
  </w:endnote>
  <w:endnote w:type="continuationSeparator" w:id="0">
    <w:p w:rsidR="00224462" w:rsidRDefault="00224462" w:rsidP="006B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62" w:rsidRDefault="00224462" w:rsidP="006B1541">
      <w:r>
        <w:separator/>
      </w:r>
    </w:p>
  </w:footnote>
  <w:footnote w:type="continuationSeparator" w:id="0">
    <w:p w:rsidR="00224462" w:rsidRDefault="00224462" w:rsidP="006B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7188"/>
    <w:multiLevelType w:val="hybridMultilevel"/>
    <w:tmpl w:val="E138B24A"/>
    <w:lvl w:ilvl="0" w:tplc="9C107F5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D7CE1"/>
    <w:multiLevelType w:val="hybridMultilevel"/>
    <w:tmpl w:val="CC5EA94A"/>
    <w:lvl w:ilvl="0" w:tplc="31607FC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82D4E"/>
    <w:multiLevelType w:val="multilevel"/>
    <w:tmpl w:val="024221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1F"/>
    <w:rsid w:val="00067B8C"/>
    <w:rsid w:val="00117B93"/>
    <w:rsid w:val="00170A3C"/>
    <w:rsid w:val="001F00B6"/>
    <w:rsid w:val="00204D51"/>
    <w:rsid w:val="0021749B"/>
    <w:rsid w:val="00224462"/>
    <w:rsid w:val="002711E2"/>
    <w:rsid w:val="00295BA7"/>
    <w:rsid w:val="00321A5B"/>
    <w:rsid w:val="0033649E"/>
    <w:rsid w:val="0045575A"/>
    <w:rsid w:val="00502B6D"/>
    <w:rsid w:val="005F22E7"/>
    <w:rsid w:val="006103CA"/>
    <w:rsid w:val="0062082C"/>
    <w:rsid w:val="00662A2C"/>
    <w:rsid w:val="006B1541"/>
    <w:rsid w:val="008C7CAD"/>
    <w:rsid w:val="009A721F"/>
    <w:rsid w:val="00A358D2"/>
    <w:rsid w:val="00B678E4"/>
    <w:rsid w:val="00C34DB1"/>
    <w:rsid w:val="00E058DE"/>
    <w:rsid w:val="00E40C50"/>
    <w:rsid w:val="00F124F2"/>
    <w:rsid w:val="00F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721F"/>
    <w:pPr>
      <w:ind w:left="720"/>
      <w:contextualSpacing/>
    </w:pPr>
    <w:rPr>
      <w:rFonts w:ascii="Cambria" w:hAnsi="Cambria"/>
    </w:rPr>
  </w:style>
  <w:style w:type="character" w:styleId="a5">
    <w:name w:val="Hyperlink"/>
    <w:basedOn w:val="a0"/>
    <w:uiPriority w:val="99"/>
    <w:unhideWhenUsed/>
    <w:rsid w:val="00B678E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B678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Normal1">
    <w:name w:val="Normal1"/>
    <w:rsid w:val="004557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Normal1"/>
    <w:next w:val="Normal1"/>
    <w:rsid w:val="0045575A"/>
    <w:pPr>
      <w:keepNext/>
      <w:outlineLvl w:val="4"/>
    </w:pPr>
    <w:rPr>
      <w:b/>
    </w:rPr>
  </w:style>
  <w:style w:type="paragraph" w:styleId="a6">
    <w:name w:val="header"/>
    <w:basedOn w:val="a"/>
    <w:link w:val="a7"/>
    <w:uiPriority w:val="99"/>
    <w:semiHidden/>
    <w:unhideWhenUsed/>
    <w:rsid w:val="006B1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1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00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721F"/>
    <w:pPr>
      <w:ind w:left="720"/>
      <w:contextualSpacing/>
    </w:pPr>
    <w:rPr>
      <w:rFonts w:ascii="Cambria" w:hAnsi="Cambria"/>
    </w:rPr>
  </w:style>
  <w:style w:type="character" w:styleId="a5">
    <w:name w:val="Hyperlink"/>
    <w:basedOn w:val="a0"/>
    <w:uiPriority w:val="99"/>
    <w:unhideWhenUsed/>
    <w:rsid w:val="00B678E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B678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Normal1">
    <w:name w:val="Normal1"/>
    <w:rsid w:val="004557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Normal1"/>
    <w:next w:val="Normal1"/>
    <w:rsid w:val="0045575A"/>
    <w:pPr>
      <w:keepNext/>
      <w:outlineLvl w:val="4"/>
    </w:pPr>
    <w:rPr>
      <w:b/>
    </w:rPr>
  </w:style>
  <w:style w:type="paragraph" w:styleId="a6">
    <w:name w:val="header"/>
    <w:basedOn w:val="a"/>
    <w:link w:val="a7"/>
    <w:uiPriority w:val="99"/>
    <w:semiHidden/>
    <w:unhideWhenUsed/>
    <w:rsid w:val="006B1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1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00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2019@mospolytech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5056-9D8C-4D64-9913-D874741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2019-03-18T06:09:00Z</dcterms:created>
  <dcterms:modified xsi:type="dcterms:W3CDTF">2019-03-18T06:09:00Z</dcterms:modified>
</cp:coreProperties>
</file>