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1953"/>
        <w:gridCol w:w="5887"/>
        <w:gridCol w:w="2026"/>
      </w:tblGrid>
      <w:tr w:rsidR="0057153E" w:rsidRPr="00E63A58" w:rsidTr="00C36BE1">
        <w:trPr>
          <w:trHeight w:val="753"/>
        </w:trPr>
        <w:tc>
          <w:tcPr>
            <w:tcW w:w="1908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rPr>
                <w:b/>
                <w:szCs w:val="28"/>
              </w:rPr>
            </w:pPr>
            <w:r w:rsidRPr="00E63A58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3E3FC2C4" wp14:editId="2F1FACD3">
                  <wp:extent cx="998220" cy="1066800"/>
                  <wp:effectExtent l="38100" t="0" r="11430" b="3810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shd w:val="clear" w:color="auto" w:fill="auto"/>
          </w:tcPr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A6EBA">
              <w:rPr>
                <w:noProof/>
                <w:lang w:eastAsia="ru-RU"/>
              </w:rPr>
              <w:drawing>
                <wp:inline distT="0" distB="0" distL="0" distR="0" wp14:anchorId="6D35E966" wp14:editId="4847EA96">
                  <wp:extent cx="1109345" cy="1083945"/>
                  <wp:effectExtent l="0" t="0" r="0" b="1905"/>
                  <wp:docPr id="3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57153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  <w:p w:rsidR="0077495E" w:rsidRPr="00E63A58" w:rsidRDefault="0077495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77495E">
              <w:rPr>
                <w:b/>
                <w:i/>
                <w:szCs w:val="28"/>
              </w:rPr>
              <w:t>Учебно-научно-исследовательская лаборатория социально-экономического мониторинга и прогнозирования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Default="0057153E" w:rsidP="00BC11EB">
            <w:pPr>
              <w:ind w:firstLine="0"/>
              <w:jc w:val="center"/>
              <w:rPr>
                <w:noProof/>
                <w:lang w:eastAsia="ru-RU"/>
              </w:rPr>
            </w:pPr>
          </w:p>
          <w:p w:rsidR="00BB6F43" w:rsidRDefault="00BB6F43" w:rsidP="00BC11EB">
            <w:pPr>
              <w:ind w:firstLine="0"/>
              <w:jc w:val="center"/>
              <w:rPr>
                <w:noProof/>
                <w:lang w:eastAsia="ru-RU"/>
              </w:rPr>
            </w:pPr>
          </w:p>
          <w:p w:rsidR="00BB6F43" w:rsidRPr="007A225F" w:rsidRDefault="00BB6F43" w:rsidP="00BC11EB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36532C" w:rsidRDefault="0036532C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623E49" w:rsidRDefault="00623E49" w:rsidP="0036532C">
      <w:pPr>
        <w:ind w:firstLine="0"/>
        <w:jc w:val="center"/>
        <w:rPr>
          <w:b/>
        </w:rPr>
      </w:pPr>
    </w:p>
    <w:p w:rsidR="00C36BE1" w:rsidRDefault="00C36BE1" w:rsidP="0036532C">
      <w:pPr>
        <w:ind w:firstLine="0"/>
        <w:jc w:val="center"/>
        <w:rPr>
          <w:b/>
        </w:rPr>
      </w:pPr>
    </w:p>
    <w:p w:rsidR="00BB6F43" w:rsidRDefault="00BB6F43" w:rsidP="0036532C">
      <w:pPr>
        <w:ind w:firstLine="0"/>
        <w:jc w:val="center"/>
        <w:rPr>
          <w:b/>
        </w:rPr>
      </w:pPr>
    </w:p>
    <w:p w:rsidR="005073A3" w:rsidRPr="00623E49" w:rsidRDefault="00BB6F43" w:rsidP="0036532C">
      <w:pPr>
        <w:ind w:firstLine="0"/>
        <w:jc w:val="center"/>
        <w:rPr>
          <w:rFonts w:ascii="Arial" w:hAnsi="Arial" w:cs="Arial"/>
          <w:b/>
          <w:color w:val="002060"/>
          <w:sz w:val="32"/>
        </w:rPr>
      </w:pPr>
      <w:r w:rsidRPr="00BB6F43">
        <w:rPr>
          <w:rFonts w:ascii="Arial" w:hAnsi="Arial" w:cs="Arial"/>
          <w:b/>
          <w:color w:val="002060"/>
          <w:sz w:val="36"/>
        </w:rPr>
        <w:t>Научно-практическ</w:t>
      </w:r>
      <w:r w:rsidR="00D94EF9">
        <w:rPr>
          <w:rFonts w:ascii="Arial" w:hAnsi="Arial" w:cs="Arial"/>
          <w:b/>
          <w:color w:val="002060"/>
          <w:sz w:val="36"/>
        </w:rPr>
        <w:t>ая</w:t>
      </w:r>
      <w:r w:rsidRPr="00BB6F43">
        <w:rPr>
          <w:rFonts w:ascii="Arial" w:hAnsi="Arial" w:cs="Arial"/>
          <w:b/>
          <w:color w:val="002060"/>
          <w:sz w:val="36"/>
        </w:rPr>
        <w:t xml:space="preserve"> конференци</w:t>
      </w:r>
      <w:r w:rsidR="00D94EF9">
        <w:rPr>
          <w:rFonts w:ascii="Arial" w:hAnsi="Arial" w:cs="Arial"/>
          <w:b/>
          <w:color w:val="002060"/>
          <w:sz w:val="36"/>
        </w:rPr>
        <w:t>я</w:t>
      </w:r>
      <w:r w:rsidRPr="00BB6F43">
        <w:rPr>
          <w:rFonts w:ascii="Arial" w:hAnsi="Arial" w:cs="Arial"/>
          <w:b/>
          <w:color w:val="002060"/>
          <w:sz w:val="36"/>
        </w:rPr>
        <w:t xml:space="preserve"> студентов магистратуры </w:t>
      </w:r>
      <w:proofErr w:type="spellStart"/>
      <w:r w:rsidRPr="00BB6F43">
        <w:rPr>
          <w:rFonts w:ascii="Arial" w:hAnsi="Arial" w:cs="Arial"/>
          <w:b/>
          <w:color w:val="002060"/>
          <w:sz w:val="36"/>
        </w:rPr>
        <w:t>ИнЭУ</w:t>
      </w:r>
      <w:proofErr w:type="spellEnd"/>
    </w:p>
    <w:p w:rsidR="0057153E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52"/>
        </w:rPr>
      </w:pPr>
      <w:r w:rsidRPr="00623E49">
        <w:rPr>
          <w:rFonts w:ascii="Arial" w:hAnsi="Arial" w:cs="Arial"/>
          <w:b/>
          <w:color w:val="002060"/>
          <w:sz w:val="52"/>
        </w:rPr>
        <w:t>«Финансово-экономические аспекты развития фирмы»</w:t>
      </w:r>
    </w:p>
    <w:p w:rsidR="0036532C" w:rsidRPr="00623E49" w:rsidRDefault="0036532C" w:rsidP="0036532C">
      <w:pPr>
        <w:ind w:firstLine="720"/>
        <w:jc w:val="center"/>
        <w:rPr>
          <w:b/>
          <w:color w:val="002060"/>
        </w:rPr>
      </w:pPr>
    </w:p>
    <w:p w:rsidR="005073A3" w:rsidRPr="00623E49" w:rsidRDefault="00636518" w:rsidP="005073A3">
      <w:pPr>
        <w:ind w:firstLine="0"/>
        <w:jc w:val="center"/>
        <w:rPr>
          <w:b/>
          <w:color w:val="002060"/>
          <w:sz w:val="36"/>
        </w:rPr>
      </w:pPr>
      <w:r>
        <w:rPr>
          <w:b/>
          <w:color w:val="002060"/>
          <w:sz w:val="36"/>
        </w:rPr>
        <w:t>4</w:t>
      </w:r>
      <w:r w:rsidR="005073A3" w:rsidRPr="00623E49">
        <w:rPr>
          <w:b/>
          <w:color w:val="002060"/>
          <w:sz w:val="36"/>
        </w:rPr>
        <w:t xml:space="preserve"> МАРТА 20</w:t>
      </w:r>
      <w:r w:rsidR="002E1D8A" w:rsidRPr="00E10708">
        <w:rPr>
          <w:b/>
          <w:color w:val="002060"/>
          <w:sz w:val="36"/>
        </w:rPr>
        <w:t>2</w:t>
      </w:r>
      <w:r>
        <w:rPr>
          <w:b/>
          <w:color w:val="002060"/>
          <w:sz w:val="36"/>
        </w:rPr>
        <w:t>3</w:t>
      </w:r>
      <w:r w:rsidR="005073A3" w:rsidRPr="00623E49">
        <w:rPr>
          <w:b/>
          <w:color w:val="002060"/>
          <w:sz w:val="36"/>
        </w:rPr>
        <w:t xml:space="preserve"> ГОДА</w:t>
      </w:r>
    </w:p>
    <w:p w:rsidR="0036532C" w:rsidRDefault="0036532C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Pr="00C36BE1" w:rsidRDefault="00C36BE1" w:rsidP="00BA54DB">
      <w:pPr>
        <w:ind w:firstLine="0"/>
        <w:jc w:val="center"/>
        <w:rPr>
          <w:b/>
          <w:color w:val="002060"/>
          <w:sz w:val="32"/>
        </w:rPr>
      </w:pPr>
      <w:r w:rsidRPr="00C36BE1">
        <w:rPr>
          <w:b/>
          <w:color w:val="002060"/>
          <w:sz w:val="32"/>
        </w:rPr>
        <w:t>ТВЕРЬ</w:t>
      </w:r>
      <w:r w:rsidR="00BB6F43">
        <w:rPr>
          <w:b/>
          <w:color w:val="002060"/>
          <w:sz w:val="32"/>
        </w:rPr>
        <w:t xml:space="preserve"> 202</w:t>
      </w:r>
      <w:r w:rsidR="00DB6F1E">
        <w:rPr>
          <w:b/>
          <w:color w:val="002060"/>
          <w:sz w:val="32"/>
        </w:rPr>
        <w:t>3</w:t>
      </w:r>
    </w:p>
    <w:p w:rsidR="00623E49" w:rsidRPr="00590D85" w:rsidRDefault="00623E49" w:rsidP="00623E49">
      <w:pPr>
        <w:ind w:firstLine="0"/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623E49" w:rsidRPr="00C36BE1" w:rsidRDefault="00623E49" w:rsidP="00BA54DB">
      <w:pPr>
        <w:ind w:firstLine="0"/>
        <w:jc w:val="center"/>
        <w:rPr>
          <w:b/>
          <w:sz w:val="24"/>
        </w:rPr>
      </w:pPr>
    </w:p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Pr="004A3312" w:rsidRDefault="00BA54DB" w:rsidP="00BA54DB">
      <w:pPr>
        <w:ind w:firstLine="0"/>
        <w:rPr>
          <w:sz w:val="20"/>
        </w:rPr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 </w:t>
      </w:r>
      <w:r w:rsidR="00BB6F43" w:rsidRPr="00BB6F43">
        <w:t xml:space="preserve">Научно-практической конференции студентов магистратуры </w:t>
      </w:r>
      <w:proofErr w:type="spellStart"/>
      <w:r w:rsidR="00BB6F43" w:rsidRPr="00BB6F43">
        <w:t>ИнЭУ</w:t>
      </w:r>
      <w:proofErr w:type="spellEnd"/>
      <w:r w:rsidR="00BB6F43" w:rsidRPr="00BB6F43">
        <w:t xml:space="preserve"> </w:t>
      </w:r>
      <w:r w:rsidR="00BA54DB">
        <w:t>«</w:t>
      </w:r>
      <w:r w:rsidR="002D0A7D">
        <w:t>Ф</w:t>
      </w:r>
      <w:r w:rsidR="002D0A7D" w:rsidRPr="00697687">
        <w:t>инансово-экономические аспекты развития фирмы</w:t>
      </w:r>
      <w:r w:rsidR="00BA54DB">
        <w:t>»</w:t>
      </w:r>
      <w:r>
        <w:t xml:space="preserve">, </w:t>
      </w:r>
      <w:r w:rsidRPr="00DD4FC9">
        <w:t xml:space="preserve">которая состоится </w:t>
      </w:r>
      <w:r w:rsidR="00DB6F1E">
        <w:rPr>
          <w:b/>
        </w:rPr>
        <w:t xml:space="preserve">4 </w:t>
      </w:r>
      <w:r w:rsidRPr="00DD4FC9">
        <w:rPr>
          <w:b/>
        </w:rPr>
        <w:t>марта (</w:t>
      </w:r>
      <w:r w:rsidR="00BB6F43">
        <w:rPr>
          <w:b/>
        </w:rPr>
        <w:t>суббота</w:t>
      </w:r>
      <w:r w:rsidR="0056017B" w:rsidRPr="00DD4FC9">
        <w:rPr>
          <w:b/>
        </w:rPr>
        <w:t>) 20</w:t>
      </w:r>
      <w:r w:rsidR="002E1D8A" w:rsidRPr="002E1D8A">
        <w:rPr>
          <w:b/>
        </w:rPr>
        <w:t>2</w:t>
      </w:r>
      <w:r w:rsidR="00DB6F1E">
        <w:rPr>
          <w:b/>
        </w:rPr>
        <w:t>3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r>
        <w:t xml:space="preserve">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 xml:space="preserve">, ауд. </w:t>
      </w:r>
      <w:r w:rsidR="002E1D8A">
        <w:rPr>
          <w:szCs w:val="28"/>
        </w:rPr>
        <w:t>3</w:t>
      </w:r>
      <w:r w:rsidR="00BB6F43">
        <w:rPr>
          <w:szCs w:val="28"/>
        </w:rPr>
        <w:t>03.</w:t>
      </w:r>
    </w:p>
    <w:p w:rsidR="001A0BAC" w:rsidRDefault="001A0BAC" w:rsidP="00DD4FC9">
      <w:pPr>
        <w:rPr>
          <w:szCs w:val="28"/>
        </w:rPr>
      </w:pPr>
      <w:r w:rsidRPr="002E40CE">
        <w:rPr>
          <w:szCs w:val="28"/>
          <w:u w:val="single"/>
        </w:rPr>
        <w:t>Время проведения</w:t>
      </w:r>
      <w:r>
        <w:rPr>
          <w:szCs w:val="28"/>
        </w:rPr>
        <w:t xml:space="preserve">: </w:t>
      </w:r>
      <w:r w:rsidR="002D0A7D">
        <w:rPr>
          <w:szCs w:val="28"/>
        </w:rPr>
        <w:t>1</w:t>
      </w:r>
      <w:r w:rsidR="00BB6F43">
        <w:rPr>
          <w:szCs w:val="28"/>
        </w:rPr>
        <w:t>2</w:t>
      </w:r>
      <w:r>
        <w:rPr>
          <w:szCs w:val="28"/>
        </w:rPr>
        <w:t xml:space="preserve"> часов</w:t>
      </w:r>
      <w:r w:rsidR="00BA38F6">
        <w:rPr>
          <w:szCs w:val="28"/>
        </w:rPr>
        <w:t>.</w:t>
      </w:r>
    </w:p>
    <w:p w:rsidR="002E40CE" w:rsidRDefault="00BA38F6" w:rsidP="00DD4FC9">
      <w:pPr>
        <w:rPr>
          <w:szCs w:val="28"/>
        </w:rPr>
      </w:pPr>
      <w:r w:rsidRPr="002E40CE">
        <w:rPr>
          <w:szCs w:val="28"/>
          <w:u w:val="single"/>
        </w:rPr>
        <w:t>Программа проведения</w:t>
      </w:r>
      <w:r>
        <w:rPr>
          <w:szCs w:val="28"/>
        </w:rPr>
        <w:t>:</w:t>
      </w:r>
      <w:r w:rsidR="000A44CE">
        <w:rPr>
          <w:szCs w:val="28"/>
        </w:rPr>
        <w:t xml:space="preserve"> </w:t>
      </w:r>
    </w:p>
    <w:p w:rsidR="002E40CE" w:rsidRDefault="00BA38F6" w:rsidP="00DD4FC9">
      <w:pPr>
        <w:rPr>
          <w:szCs w:val="28"/>
        </w:rPr>
      </w:pPr>
      <w:r>
        <w:rPr>
          <w:szCs w:val="28"/>
        </w:rPr>
        <w:t>1. Пленарное заседание</w:t>
      </w:r>
      <w:r w:rsidR="000A44CE">
        <w:rPr>
          <w:szCs w:val="28"/>
        </w:rPr>
        <w:t xml:space="preserve">; </w:t>
      </w:r>
    </w:p>
    <w:p w:rsidR="00BA38F6" w:rsidRDefault="00BA38F6" w:rsidP="00DD4FC9">
      <w:pPr>
        <w:rPr>
          <w:szCs w:val="28"/>
        </w:rPr>
      </w:pPr>
      <w:r>
        <w:rPr>
          <w:szCs w:val="28"/>
        </w:rPr>
        <w:t>2. Работа секци</w:t>
      </w:r>
      <w:r w:rsidR="00BB6F43">
        <w:rPr>
          <w:szCs w:val="28"/>
        </w:rPr>
        <w:t>и</w:t>
      </w:r>
      <w:r w:rsidR="000A44CE">
        <w:rPr>
          <w:szCs w:val="28"/>
        </w:rPr>
        <w:t>.</w:t>
      </w:r>
    </w:p>
    <w:p w:rsidR="00EE781E" w:rsidRDefault="00EE781E" w:rsidP="00DD4FC9">
      <w:pPr>
        <w:rPr>
          <w:szCs w:val="28"/>
        </w:rPr>
      </w:pPr>
      <w:r w:rsidRPr="002E40CE">
        <w:rPr>
          <w:szCs w:val="28"/>
          <w:u w:val="single"/>
        </w:rPr>
        <w:t>Тематика секци</w:t>
      </w:r>
      <w:r w:rsidR="00BB6F43">
        <w:rPr>
          <w:szCs w:val="28"/>
          <w:u w:val="single"/>
        </w:rPr>
        <w:t>и</w:t>
      </w:r>
      <w:r>
        <w:rPr>
          <w:szCs w:val="28"/>
        </w:rPr>
        <w:t xml:space="preserve">: </w:t>
      </w:r>
    </w:p>
    <w:p w:rsidR="00EE781E" w:rsidRDefault="00EE781E" w:rsidP="00DD4FC9">
      <w:pPr>
        <w:rPr>
          <w:szCs w:val="28"/>
        </w:rPr>
      </w:pPr>
      <w:r w:rsidRPr="00EE781E">
        <w:rPr>
          <w:szCs w:val="28"/>
        </w:rPr>
        <w:t>Финансовый менеджмент, учет и анализ рисков</w:t>
      </w:r>
    </w:p>
    <w:p w:rsidR="00DD4FC9" w:rsidRPr="005E168E" w:rsidRDefault="00DD4FC9" w:rsidP="00DD4FC9">
      <w:pPr>
        <w:rPr>
          <w:b/>
          <w:szCs w:val="28"/>
        </w:rPr>
      </w:pPr>
      <w:r w:rsidRPr="002E40CE">
        <w:rPr>
          <w:szCs w:val="28"/>
          <w:u w:val="single"/>
        </w:rPr>
        <w:t>К участию в конференции приглашаются</w:t>
      </w:r>
      <w:r w:rsidRPr="005E168E">
        <w:rPr>
          <w:szCs w:val="28"/>
        </w:rPr>
        <w:t xml:space="preserve"> </w:t>
      </w:r>
      <w:r>
        <w:rPr>
          <w:szCs w:val="28"/>
        </w:rPr>
        <w:t>магистранты 1 и 2 курсов</w:t>
      </w:r>
      <w:r w:rsidR="007862F0">
        <w:rPr>
          <w:szCs w:val="28"/>
        </w:rPr>
        <w:t xml:space="preserve"> программ «</w:t>
      </w:r>
      <w:r w:rsidR="007862F0" w:rsidRPr="007862F0">
        <w:rPr>
          <w:szCs w:val="28"/>
        </w:rPr>
        <w:t>Финансовый менеджмент, учет и анализ</w:t>
      </w:r>
      <w:r w:rsidR="007862F0">
        <w:rPr>
          <w:szCs w:val="28"/>
        </w:rPr>
        <w:t xml:space="preserve"> рисков»</w:t>
      </w:r>
      <w:r>
        <w:rPr>
          <w:szCs w:val="28"/>
        </w:rPr>
        <w:t xml:space="preserve">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Форма проведения</w:t>
      </w:r>
      <w:r w:rsidRPr="005E168E">
        <w:rPr>
          <w:szCs w:val="28"/>
        </w:rPr>
        <w:t xml:space="preserve">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</w:t>
      </w:r>
      <w:r w:rsidR="008D77C1">
        <w:rPr>
          <w:szCs w:val="28"/>
        </w:rPr>
        <w:t>Научно-практические</w:t>
      </w:r>
      <w:r w:rsidR="00990DC8">
        <w:rPr>
          <w:szCs w:val="28"/>
        </w:rPr>
        <w:t xml:space="preserve"> конференции»</w:t>
      </w:r>
      <w:r w:rsidR="008D77C1">
        <w:rPr>
          <w:szCs w:val="28"/>
        </w:rPr>
        <w:t xml:space="preserve"> - «</w:t>
      </w:r>
      <w:r w:rsidR="008D77C1" w:rsidRPr="008D77C1">
        <w:rPr>
          <w:szCs w:val="28"/>
        </w:rPr>
        <w:t>Внутриуниверситетская научно-практическая конференция студентов магистратуры «Финансово-экономические аспекты развития фирмы»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7" w:history="1">
        <w:r w:rsidR="007672F9" w:rsidRPr="00C20D7F">
          <w:rPr>
            <w:rStyle w:val="a3"/>
          </w:rPr>
          <w:t>http://eco.tversu.ru/Conf/conf04.html</w:t>
        </w:r>
      </w:hyperlink>
      <w:r w:rsidR="007672F9">
        <w:t xml:space="preserve"> 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</w:t>
      </w:r>
      <w:r w:rsidRPr="0090292D">
        <w:rPr>
          <w:b/>
          <w:szCs w:val="28"/>
        </w:rPr>
        <w:t xml:space="preserve">необходимо направить в адрес </w:t>
      </w:r>
      <w:proofErr w:type="spellStart"/>
      <w:r w:rsidRPr="0090292D">
        <w:rPr>
          <w:b/>
          <w:szCs w:val="28"/>
        </w:rPr>
        <w:t>Оргкомита</w:t>
      </w:r>
      <w:proofErr w:type="spellEnd"/>
      <w:r w:rsidRPr="005E168E">
        <w:rPr>
          <w:szCs w:val="28"/>
        </w:rPr>
        <w:t xml:space="preserve">: 170021,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</w:t>
      </w:r>
      <w:r w:rsidR="00C24479">
        <w:rPr>
          <w:szCs w:val="28"/>
        </w:rPr>
        <w:t>финансов</w:t>
      </w:r>
      <w:r w:rsidRPr="005E168E">
        <w:rPr>
          <w:szCs w:val="28"/>
        </w:rPr>
        <w:t xml:space="preserve"> ауд. 3</w:t>
      </w:r>
      <w:r w:rsidR="00C24479">
        <w:rPr>
          <w:szCs w:val="28"/>
        </w:rPr>
        <w:t>13</w:t>
      </w:r>
      <w:r w:rsidRPr="005E168E">
        <w:rPr>
          <w:szCs w:val="28"/>
        </w:rPr>
        <w:t>. Тел. (4822) 77-83-</w:t>
      </w:r>
      <w:r w:rsidR="003F607E">
        <w:rPr>
          <w:szCs w:val="28"/>
        </w:rPr>
        <w:t>84</w:t>
      </w:r>
      <w:r w:rsidRPr="005E168E">
        <w:rPr>
          <w:szCs w:val="28"/>
        </w:rPr>
        <w:t xml:space="preserve">. </w:t>
      </w:r>
      <w:r w:rsidR="005F0EBE">
        <w:rPr>
          <w:szCs w:val="28"/>
        </w:rPr>
        <w:t xml:space="preserve">Выделенный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8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DB6F1E">
        <w:rPr>
          <w:b/>
          <w:szCs w:val="28"/>
        </w:rPr>
        <w:t>1</w:t>
      </w:r>
      <w:r w:rsidR="002E1D8A">
        <w:rPr>
          <w:b/>
          <w:szCs w:val="28"/>
        </w:rPr>
        <w:t xml:space="preserve"> </w:t>
      </w:r>
      <w:r w:rsidR="00BB6F43">
        <w:rPr>
          <w:b/>
          <w:szCs w:val="28"/>
        </w:rPr>
        <w:t>марта</w:t>
      </w:r>
      <w:r w:rsidR="00F0160E">
        <w:rPr>
          <w:b/>
          <w:szCs w:val="28"/>
        </w:rPr>
        <w:t xml:space="preserve"> 2</w:t>
      </w:r>
      <w:r w:rsidRPr="005E168E">
        <w:rPr>
          <w:b/>
          <w:szCs w:val="28"/>
        </w:rPr>
        <w:t>0</w:t>
      </w:r>
      <w:r w:rsidR="002E1D8A">
        <w:rPr>
          <w:b/>
          <w:szCs w:val="28"/>
        </w:rPr>
        <w:t>2</w:t>
      </w:r>
      <w:r w:rsidR="00DB6F1E">
        <w:rPr>
          <w:b/>
          <w:szCs w:val="28"/>
        </w:rPr>
        <w:t>3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2E1D8A">
        <w:trPr>
          <w:trHeight w:val="1134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EA66D7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t xml:space="preserve">Название файла-заявки должно содержать следующее наименование: </w:t>
      </w:r>
      <w:r w:rsidR="00FE0D46">
        <w:rPr>
          <w:szCs w:val="28"/>
        </w:rPr>
        <w:t>Фамилия И.</w:t>
      </w:r>
      <w:r w:rsidRPr="00EA66D7">
        <w:rPr>
          <w:szCs w:val="28"/>
        </w:rPr>
        <w:t>О. (студента)–заявка</w:t>
      </w:r>
      <w:r w:rsidR="00EA66D7" w:rsidRPr="00EA66D7">
        <w:rPr>
          <w:szCs w:val="28"/>
        </w:rPr>
        <w:t>КМ</w:t>
      </w:r>
      <w:r w:rsidR="002E1D8A">
        <w:rPr>
          <w:szCs w:val="28"/>
        </w:rPr>
        <w:t>2</w:t>
      </w:r>
      <w:r w:rsidR="00DB6F1E">
        <w:rPr>
          <w:szCs w:val="28"/>
        </w:rPr>
        <w:t>3</w:t>
      </w:r>
      <w:r w:rsidR="00EA66D7">
        <w:rPr>
          <w:szCs w:val="28"/>
        </w:rPr>
        <w:t xml:space="preserve">, </w:t>
      </w:r>
      <w:proofErr w:type="gramStart"/>
      <w:r w:rsidR="00EA66D7">
        <w:rPr>
          <w:szCs w:val="28"/>
        </w:rPr>
        <w:t>например</w:t>
      </w:r>
      <w:proofErr w:type="gramEnd"/>
      <w:r w:rsidR="00EA66D7">
        <w:rPr>
          <w:szCs w:val="28"/>
        </w:rPr>
        <w:t>:</w:t>
      </w:r>
    </w:p>
    <w:p w:rsidR="002E1D8A" w:rsidRPr="002E1D8A" w:rsidRDefault="002E1D8A" w:rsidP="003F16DE">
      <w:pPr>
        <w:ind w:firstLine="851"/>
        <w:rPr>
          <w:sz w:val="16"/>
          <w:szCs w:val="28"/>
        </w:rPr>
      </w:pPr>
    </w:p>
    <w:p w:rsidR="00E7499B" w:rsidRPr="002E1D8A" w:rsidRDefault="00FE0D46" w:rsidP="00EA66D7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Иванов И.И</w:t>
      </w:r>
      <w:r w:rsidR="00EA66D7" w:rsidRPr="00EA66D7">
        <w:rPr>
          <w:sz w:val="32"/>
          <w:szCs w:val="28"/>
        </w:rPr>
        <w:t>.-заявкаКМ</w:t>
      </w:r>
      <w:r w:rsidR="002E1D8A">
        <w:rPr>
          <w:sz w:val="32"/>
          <w:szCs w:val="28"/>
        </w:rPr>
        <w:t>2</w:t>
      </w:r>
      <w:r w:rsidR="00DB6F1E">
        <w:rPr>
          <w:sz w:val="32"/>
          <w:szCs w:val="28"/>
        </w:rPr>
        <w:t>3</w:t>
      </w:r>
      <w:r w:rsidR="00EA66D7" w:rsidRPr="00EA66D7">
        <w:rPr>
          <w:sz w:val="32"/>
          <w:szCs w:val="28"/>
        </w:rPr>
        <w:t>.</w:t>
      </w:r>
      <w:proofErr w:type="spellStart"/>
      <w:r w:rsidR="00EA66D7"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EA66D7">
      <w:pPr>
        <w:ind w:firstLine="851"/>
        <w:jc w:val="center"/>
        <w:rPr>
          <w:sz w:val="16"/>
          <w:szCs w:val="28"/>
        </w:rPr>
      </w:pPr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4C25C6" w:rsidRPr="005E168E">
        <w:rPr>
          <w:b/>
          <w:szCs w:val="28"/>
        </w:rPr>
        <w:t>1</w:t>
      </w:r>
      <w:r w:rsidR="00DB6F1E">
        <w:rPr>
          <w:b/>
          <w:szCs w:val="28"/>
        </w:rPr>
        <w:t>9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</w:t>
      </w:r>
      <w:r w:rsidR="002E1D8A">
        <w:rPr>
          <w:b/>
          <w:szCs w:val="28"/>
        </w:rPr>
        <w:t>2</w:t>
      </w:r>
      <w:r w:rsidR="00DB6F1E">
        <w:rPr>
          <w:b/>
          <w:szCs w:val="28"/>
        </w:rPr>
        <w:t>3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t>Название файла-статьи должно содержать сле</w:t>
      </w:r>
      <w:r w:rsidR="001A7DC9">
        <w:rPr>
          <w:szCs w:val="28"/>
        </w:rPr>
        <w:t>дующее наименование: Фамилия И.</w:t>
      </w:r>
      <w:r w:rsidRPr="005E168E">
        <w:rPr>
          <w:szCs w:val="28"/>
        </w:rPr>
        <w:t>О. (студента)–статья</w:t>
      </w:r>
      <w:r w:rsidR="001A7DC9">
        <w:rPr>
          <w:szCs w:val="28"/>
        </w:rPr>
        <w:t>КМ</w:t>
      </w:r>
      <w:r w:rsidR="002E1D8A">
        <w:rPr>
          <w:szCs w:val="28"/>
        </w:rPr>
        <w:t>2</w:t>
      </w:r>
      <w:r w:rsidR="00DB6F1E">
        <w:rPr>
          <w:szCs w:val="28"/>
        </w:rPr>
        <w:t>3</w:t>
      </w:r>
      <w:r w:rsidRPr="005E168E">
        <w:rPr>
          <w:szCs w:val="28"/>
        </w:rPr>
        <w:t xml:space="preserve">, </w:t>
      </w:r>
      <w:proofErr w:type="gramStart"/>
      <w:r w:rsidRPr="005E168E">
        <w:rPr>
          <w:szCs w:val="28"/>
        </w:rPr>
        <w:t>например</w:t>
      </w:r>
      <w:proofErr w:type="gramEnd"/>
      <w:r w:rsidRPr="005E168E">
        <w:rPr>
          <w:szCs w:val="28"/>
        </w:rPr>
        <w:t>:</w:t>
      </w:r>
    </w:p>
    <w:p w:rsidR="002E1D8A" w:rsidRPr="002E1D8A" w:rsidRDefault="002E1D8A" w:rsidP="004C25C6">
      <w:pPr>
        <w:ind w:firstLine="851"/>
        <w:rPr>
          <w:sz w:val="16"/>
          <w:szCs w:val="28"/>
        </w:rPr>
      </w:pPr>
    </w:p>
    <w:p w:rsidR="001A7DC9" w:rsidRDefault="001A7DC9" w:rsidP="001A7DC9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Pr="00EA66D7">
        <w:rPr>
          <w:sz w:val="32"/>
          <w:szCs w:val="28"/>
        </w:rPr>
        <w:t>.-</w:t>
      </w:r>
      <w:r>
        <w:rPr>
          <w:sz w:val="32"/>
          <w:szCs w:val="28"/>
        </w:rPr>
        <w:t>статья</w:t>
      </w:r>
      <w:r w:rsidRPr="00EA66D7">
        <w:rPr>
          <w:sz w:val="32"/>
          <w:szCs w:val="28"/>
        </w:rPr>
        <w:t>КМ</w:t>
      </w:r>
      <w:r w:rsidR="002E1D8A">
        <w:rPr>
          <w:sz w:val="32"/>
          <w:szCs w:val="28"/>
        </w:rPr>
        <w:t>2</w:t>
      </w:r>
      <w:r w:rsidR="00DB6F1E">
        <w:rPr>
          <w:sz w:val="32"/>
          <w:szCs w:val="28"/>
        </w:rPr>
        <w:t>3</w:t>
      </w:r>
      <w:r w:rsidRPr="00EA66D7">
        <w:rPr>
          <w:sz w:val="32"/>
          <w:szCs w:val="28"/>
        </w:rPr>
        <w:t>.</w:t>
      </w:r>
      <w:proofErr w:type="spellStart"/>
      <w:r w:rsidRPr="00EA66D7">
        <w:rPr>
          <w:sz w:val="32"/>
          <w:szCs w:val="28"/>
          <w:lang w:val="en-US"/>
        </w:rPr>
        <w:t>docx</w:t>
      </w:r>
      <w:proofErr w:type="spellEnd"/>
    </w:p>
    <w:p w:rsidR="002E1D8A" w:rsidRPr="002E1D8A" w:rsidRDefault="002E1D8A" w:rsidP="001A7DC9">
      <w:pPr>
        <w:ind w:firstLine="851"/>
        <w:jc w:val="center"/>
        <w:rPr>
          <w:sz w:val="16"/>
          <w:szCs w:val="28"/>
        </w:rPr>
      </w:pP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8D77C1">
        <w:rPr>
          <w:szCs w:val="28"/>
        </w:rPr>
        <w:t>ое</w:t>
      </w:r>
      <w:r w:rsidR="001A1068">
        <w:rPr>
          <w:szCs w:val="28"/>
        </w:rPr>
        <w:t xml:space="preserve"> </w:t>
      </w:r>
      <w:r w:rsidRPr="005E168E">
        <w:rPr>
          <w:szCs w:val="28"/>
        </w:rPr>
        <w:t>лиц</w:t>
      </w:r>
      <w:r w:rsidR="008D77C1">
        <w:rPr>
          <w:szCs w:val="28"/>
        </w:rPr>
        <w:t>о</w:t>
      </w:r>
      <w:r w:rsidRPr="005E168E">
        <w:rPr>
          <w:szCs w:val="28"/>
        </w:rPr>
        <w:t>: 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</w:t>
      </w:r>
      <w:r w:rsidR="000F7072" w:rsidRPr="000F7072">
        <w:rPr>
          <w:szCs w:val="28"/>
          <w:u w:val="single"/>
        </w:rPr>
        <w:t>в рамках диссертационного исследования</w:t>
      </w:r>
      <w:r w:rsidR="000F7072" w:rsidRPr="005E168E">
        <w:rPr>
          <w:szCs w:val="28"/>
        </w:rPr>
        <w:t xml:space="preserve"> </w:t>
      </w:r>
      <w:r w:rsidRPr="005E168E">
        <w:rPr>
          <w:szCs w:val="28"/>
        </w:rPr>
        <w:t>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 w:rsidR="00D21778">
        <w:rPr>
          <w:szCs w:val="28"/>
          <w:u w:val="single"/>
        </w:rPr>
        <w:t xml:space="preserve"> (</w:t>
      </w:r>
      <w:r w:rsidR="00D21778" w:rsidRPr="009B7697">
        <w:rPr>
          <w:b/>
          <w:szCs w:val="28"/>
          <w:u w:val="single"/>
        </w:rPr>
        <w:t>степень оригинальности 60%</w:t>
      </w:r>
      <w:r w:rsidR="00D21778">
        <w:rPr>
          <w:szCs w:val="28"/>
          <w:u w:val="single"/>
        </w:rPr>
        <w:t>)</w:t>
      </w:r>
      <w:r>
        <w:rPr>
          <w:szCs w:val="28"/>
        </w:rPr>
        <w:t xml:space="preserve">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</w:t>
      </w:r>
      <w:r w:rsidR="00C71C5E" w:rsidRPr="003F02C1">
        <w:rPr>
          <w:rFonts w:eastAsia="Times New Roman" w:cs="Times New Roman"/>
          <w:b/>
          <w:szCs w:val="28"/>
          <w:lang w:eastAsia="ru-RU"/>
        </w:rPr>
        <w:t>5-</w:t>
      </w:r>
      <w:r w:rsidR="002221B2">
        <w:rPr>
          <w:rFonts w:eastAsia="Times New Roman" w:cs="Times New Roman"/>
          <w:b/>
          <w:szCs w:val="28"/>
          <w:lang w:eastAsia="ru-RU"/>
        </w:rPr>
        <w:t>10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lastRenderedPageBreak/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D40C4F" w:rsidRPr="00C71C5E" w:rsidRDefault="00D40C4F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2E1D8A" w:rsidRDefault="00C71C5E" w:rsidP="00C71C5E">
      <w:pPr>
        <w:ind w:firstLine="0"/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36BE1" w:rsidRPr="002E1D8A" w:rsidRDefault="00C36BE1" w:rsidP="007870E2">
      <w:pPr>
        <w:ind w:firstLine="0"/>
        <w:jc w:val="center"/>
        <w:rPr>
          <w:b/>
          <w:sz w:val="22"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2221B2" w:rsidRDefault="002221B2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</w:p>
    <w:p w:rsidR="00DB6F1E" w:rsidRDefault="00DB6F1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C71C5E">
        <w:rPr>
          <w:rFonts w:eastAsia="Times New Roman" w:cs="Times New Roman"/>
          <w:b/>
          <w:szCs w:val="28"/>
          <w:lang w:eastAsia="ru-RU"/>
        </w:rPr>
        <w:lastRenderedPageBreak/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333013" w:rsidRPr="0044096A" w:rsidRDefault="00333013" w:rsidP="002221B2">
      <w:pPr>
        <w:ind w:firstLine="0"/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2E1D8A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Т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Филимонов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Тверской государственный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9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10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11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1C5E" w:rsidRPr="00820F84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  <w:r w:rsidR="00820F84">
        <w:rPr>
          <w:bCs/>
          <w:szCs w:val="28"/>
          <w:vertAlign w:val="superscript"/>
        </w:rPr>
        <w:t>*</w:t>
      </w:r>
    </w:p>
    <w:p w:rsidR="00E10708" w:rsidRPr="00A6075E" w:rsidRDefault="00E10708" w:rsidP="00F04B5F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i/>
          <w:color w:val="000000"/>
        </w:rPr>
      </w:pPr>
      <w:r w:rsidRPr="00C85587">
        <w:rPr>
          <w:rFonts w:eastAsia="Calibri" w:cs="Times New Roman"/>
          <w:bCs/>
          <w:i/>
          <w:szCs w:val="28"/>
          <w:vertAlign w:val="superscript"/>
        </w:rPr>
        <w:t>*</w:t>
      </w:r>
      <w:r w:rsidRPr="00C85587">
        <w:rPr>
          <w:rFonts w:eastAsia="Calibri" w:cs="Times New Roman"/>
          <w:bCs/>
          <w:i/>
          <w:szCs w:val="28"/>
        </w:rPr>
        <w:t xml:space="preserve">Составлено автором по данным: </w:t>
      </w:r>
      <w:r w:rsidRPr="00E10708">
        <w:rPr>
          <w:rFonts w:eastAsia="Calibri" w:cs="Times New Roman"/>
          <w:bCs/>
          <w:i/>
          <w:szCs w:val="28"/>
        </w:rPr>
        <w:t>[</w:t>
      </w:r>
      <w:r w:rsidRPr="00C85587">
        <w:rPr>
          <w:rFonts w:eastAsia="Calibri" w:cs="Times New Roman"/>
          <w:bCs/>
          <w:i/>
          <w:szCs w:val="28"/>
        </w:rPr>
        <w:t>3</w:t>
      </w:r>
      <w:r w:rsidRPr="00E10708">
        <w:rPr>
          <w:rFonts w:eastAsia="Calibri" w:cs="Times New Roman"/>
          <w:bCs/>
          <w:i/>
          <w:szCs w:val="28"/>
        </w:rPr>
        <w:t>]</w:t>
      </w:r>
      <w:r w:rsidRPr="00C85587">
        <w:rPr>
          <w:rFonts w:eastAsia="Calibri" w:cs="Times New Roman"/>
          <w:bCs/>
          <w:i/>
          <w:szCs w:val="28"/>
        </w:rPr>
        <w:t>.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>систематизированном виде 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1680"/>
        <w:gridCol w:w="3945"/>
        <w:gridCol w:w="4014"/>
      </w:tblGrid>
      <w:tr w:rsidR="007C012E" w:rsidRPr="00754ABB" w:rsidTr="0025220E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25220E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25220E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25220E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Pr="00E10708" w:rsidRDefault="00BC505D" w:rsidP="0026089E">
      <w:pPr>
        <w:ind w:firstLine="0"/>
        <w:rPr>
          <w:rFonts w:eastAsia="Times New Roman" w:cs="Times New Roman"/>
          <w:i/>
          <w:szCs w:val="28"/>
          <w:lang w:eastAsia="ru-RU"/>
        </w:rPr>
      </w:pPr>
      <w:r w:rsidRPr="00E10708">
        <w:rPr>
          <w:rFonts w:eastAsia="Times New Roman" w:cs="Times New Roman"/>
          <w:i/>
          <w:szCs w:val="28"/>
          <w:vertAlign w:val="superscript"/>
          <w:lang w:eastAsia="ru-RU"/>
        </w:rPr>
        <w:t>*</w:t>
      </w:r>
      <w:r w:rsidR="0026089E" w:rsidRPr="00E10708">
        <w:rPr>
          <w:rFonts w:eastAsia="Times New Roman" w:cs="Times New Roman"/>
          <w:i/>
          <w:szCs w:val="28"/>
          <w:lang w:eastAsia="ru-RU"/>
        </w:rPr>
        <w:t>Составлено автором по данным: [2, С. 128-129].</w:t>
      </w:r>
    </w:p>
    <w:p w:rsidR="0026089E" w:rsidRPr="00E10708" w:rsidRDefault="0026089E" w:rsidP="0026089E">
      <w:pPr>
        <w:ind w:firstLine="0"/>
        <w:rPr>
          <w:rFonts w:eastAsia="Times New Roman" w:cs="Times New Roman"/>
          <w:sz w:val="24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 xml:space="preserve">Таким образом, </w:t>
      </w:r>
      <w:bookmarkStart w:id="0" w:name="_GoBack"/>
      <w:bookmarkEnd w:id="0"/>
      <w:r w:rsidRPr="007B6DB3">
        <w:rPr>
          <w:rFonts w:eastAsia="Calibri" w:cs="Times New Roman"/>
          <w:color w:val="000000"/>
          <w:szCs w:val="28"/>
        </w:rPr>
        <w:t>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E10708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 w:val="24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4E503D" w:rsidRPr="00F84836" w:rsidRDefault="007B6DB3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  <w:lang w:val="en-US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F84836">
        <w:rPr>
          <w:rFonts w:eastAsia="Calibri" w:cs="Times New Roman"/>
          <w:szCs w:val="28"/>
          <w:shd w:val="clear" w:color="auto" w:fill="FFFFFF"/>
        </w:rPr>
        <w:t>:</w:t>
      </w:r>
      <w:r w:rsidR="00F84836" w:rsidRPr="00F84836">
        <w:rPr>
          <w:rFonts w:eastAsia="Calibri" w:cs="Times New Roman"/>
          <w:szCs w:val="28"/>
          <w:shd w:val="clear" w:color="auto" w:fill="FFFFFF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Министерств</w:t>
      </w:r>
      <w:r w:rsidR="00F84836">
        <w:rPr>
          <w:rFonts w:eastAsia="Calibri" w:cs="Times New Roman"/>
          <w:szCs w:val="28"/>
          <w:shd w:val="clear" w:color="auto" w:fill="FFFFFF"/>
        </w:rPr>
        <w:t>о</w:t>
      </w:r>
      <w:r w:rsidR="00F84836"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84836" w:rsidRPr="00FA538D">
        <w:rPr>
          <w:szCs w:val="28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области</w:t>
      </w:r>
      <w:r w:rsidR="00F84836">
        <w:rPr>
          <w:rFonts w:eastAsia="Calibri" w:cs="Times New Roman"/>
          <w:szCs w:val="28"/>
          <w:shd w:val="clear" w:color="auto" w:fill="FFFFFF"/>
        </w:rPr>
        <w:t xml:space="preserve">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:  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>http://www.depagr.tver.ru/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TGS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_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new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nsf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pages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programmapk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html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F84836">
        <w:rPr>
          <w:rFonts w:eastAsia="Calibri" w:cs="Times New Roman"/>
          <w:szCs w:val="28"/>
          <w:lang w:val="en-US"/>
        </w:rPr>
        <w:t>(</w:t>
      </w:r>
      <w:r w:rsidR="004E503D" w:rsidRPr="0026089E">
        <w:rPr>
          <w:rFonts w:eastAsia="Calibri" w:cs="Times New Roman"/>
          <w:szCs w:val="28"/>
        </w:rPr>
        <w:t>дата</w:t>
      </w:r>
      <w:r w:rsidR="004E503D" w:rsidRPr="00F84836">
        <w:rPr>
          <w:rFonts w:eastAsia="Calibri" w:cs="Times New Roman"/>
          <w:szCs w:val="28"/>
          <w:lang w:val="en-US"/>
        </w:rPr>
        <w:t xml:space="preserve"> </w:t>
      </w:r>
      <w:r w:rsidR="004E503D" w:rsidRPr="0026089E">
        <w:rPr>
          <w:rFonts w:eastAsia="Calibri" w:cs="Times New Roman"/>
          <w:szCs w:val="28"/>
        </w:rPr>
        <w:t>обращения</w:t>
      </w:r>
      <w:r w:rsidR="004E503D" w:rsidRPr="00F84836">
        <w:rPr>
          <w:rFonts w:eastAsia="Calibri" w:cs="Times New Roman"/>
          <w:szCs w:val="28"/>
          <w:lang w:val="en-US"/>
        </w:rPr>
        <w:t xml:space="preserve"> 15.03.16)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>Агропромышленный комплекс Тверской области [Электронный ресурс]: Министерств</w:t>
      </w:r>
      <w:r w:rsidR="004E503D">
        <w:rPr>
          <w:rFonts w:eastAsia="Calibri" w:cs="Times New Roman"/>
          <w:szCs w:val="28"/>
          <w:shd w:val="clear" w:color="auto" w:fill="FFFFFF"/>
        </w:rPr>
        <w:t>о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A538D" w:rsidRPr="00FA538D">
        <w:rPr>
          <w:szCs w:val="28"/>
        </w:rPr>
        <w:t xml:space="preserve">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4E503D">
        <w:rPr>
          <w:rFonts w:eastAsia="Calibri" w:cs="Times New Roman"/>
          <w:szCs w:val="28"/>
          <w:shd w:val="clear" w:color="auto" w:fill="FFFFFF"/>
        </w:rPr>
        <w:t>: Публикации / Росстат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r w:rsidR="004E503D">
        <w:rPr>
          <w:rFonts w:eastAsia="Calibri" w:cs="Times New Roman"/>
          <w:szCs w:val="28"/>
          <w:shd w:val="clear" w:color="auto" w:fill="FFFFFF"/>
        </w:rPr>
        <w:t xml:space="preserve"> </w:t>
      </w:r>
      <w:r w:rsidR="004E503D" w:rsidRPr="004E503D">
        <w:rPr>
          <w:rFonts w:eastAsia="Calibri" w:cs="Times New Roman"/>
          <w:szCs w:val="28"/>
        </w:rPr>
        <w:t xml:space="preserve">http://www.gks.ru/wps/wcm/connect/rosstat_main/rosstat/ru/statistics/publications/catalog/doc_1138623506156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E10708" w:rsidRDefault="00C71C5E" w:rsidP="00C71C5E">
      <w:pPr>
        <w:ind w:firstLine="0"/>
        <w:rPr>
          <w:rFonts w:eastAsia="Times New Roman" w:cs="Times New Roman"/>
          <w:sz w:val="24"/>
          <w:szCs w:val="28"/>
          <w:lang w:eastAsia="ru-RU"/>
        </w:rPr>
      </w:pPr>
    </w:p>
    <w:p w:rsidR="00C71C5E" w:rsidRPr="00C71C5E" w:rsidRDefault="00C71C5E" w:rsidP="00783774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D84B97" w:rsidP="00783774">
      <w:pPr>
        <w:rPr>
          <w:rFonts w:cs="Times New Roman"/>
          <w:color w:val="262626"/>
          <w:szCs w:val="26"/>
        </w:rPr>
      </w:pPr>
      <w:r w:rsidRPr="002E1D8A">
        <w:rPr>
          <w:rFonts w:cs="Times New Roman"/>
          <w:szCs w:val="28"/>
        </w:rPr>
        <w:t>ФИЛИМОНОВ</w:t>
      </w:r>
      <w:r w:rsidR="0026089E" w:rsidRPr="0044096A">
        <w:rPr>
          <w:rFonts w:cs="Times New Roman"/>
          <w:szCs w:val="28"/>
        </w:rPr>
        <w:t xml:space="preserve"> </w:t>
      </w:r>
      <w:r w:rsidR="002E1D8A">
        <w:rPr>
          <w:rFonts w:cs="Times New Roman"/>
          <w:szCs w:val="28"/>
        </w:rPr>
        <w:t>Алексей</w:t>
      </w:r>
      <w:r w:rsidR="0026089E" w:rsidRPr="0044096A">
        <w:rPr>
          <w:rFonts w:cs="Times New Roman"/>
          <w:szCs w:val="28"/>
        </w:rPr>
        <w:t xml:space="preserve"> </w:t>
      </w:r>
      <w:r w:rsidR="002E1D8A">
        <w:rPr>
          <w:rFonts w:cs="Times New Roman"/>
          <w:szCs w:val="28"/>
        </w:rPr>
        <w:t>Тимурович</w:t>
      </w:r>
      <w:r w:rsidR="0026089E">
        <w:rPr>
          <w:rFonts w:cs="Times New Roman"/>
          <w:szCs w:val="28"/>
        </w:rPr>
        <w:t xml:space="preserve"> </w:t>
      </w:r>
      <w:r w:rsidR="0026089E" w:rsidRPr="0044096A">
        <w:rPr>
          <w:rFonts w:cs="Times New Roman"/>
          <w:szCs w:val="28"/>
        </w:rPr>
        <w:t>– магистрант 2 курса,</w:t>
      </w:r>
      <w:r w:rsidR="0026089E">
        <w:rPr>
          <w:rFonts w:cs="Times New Roman"/>
          <w:szCs w:val="28"/>
        </w:rPr>
        <w:t xml:space="preserve"> группы 25</w:t>
      </w:r>
      <w:r w:rsidR="002E1D8A">
        <w:rPr>
          <w:rFonts w:cs="Times New Roman"/>
          <w:szCs w:val="28"/>
        </w:rPr>
        <w:t>М</w:t>
      </w:r>
      <w:r w:rsidR="0026089E" w:rsidRPr="0026089E">
        <w:rPr>
          <w:rFonts w:eastAsia="MS Mincho" w:cs="Times New Roman"/>
          <w:szCs w:val="28"/>
        </w:rPr>
        <w:t xml:space="preserve">, </w:t>
      </w:r>
      <w:r w:rsidR="0026089E" w:rsidRPr="0044096A">
        <w:rPr>
          <w:rFonts w:eastAsia="MS Mincho" w:cs="Times New Roman"/>
          <w:szCs w:val="28"/>
          <w:lang w:val="en-US"/>
        </w:rPr>
        <w:t>e</w:t>
      </w:r>
      <w:r w:rsidR="0026089E" w:rsidRPr="0026089E">
        <w:rPr>
          <w:rFonts w:eastAsia="MS Mincho" w:cs="Times New Roman"/>
          <w:szCs w:val="28"/>
        </w:rPr>
        <w:t>-</w:t>
      </w:r>
      <w:r w:rsidR="0026089E" w:rsidRPr="0044096A">
        <w:rPr>
          <w:rFonts w:eastAsia="MS Mincho" w:cs="Times New Roman"/>
          <w:szCs w:val="28"/>
          <w:lang w:val="en-US"/>
        </w:rPr>
        <w:t>mail</w:t>
      </w:r>
      <w:r w:rsidR="00E95E85">
        <w:rPr>
          <w:rFonts w:eastAsia="MS Mincho" w:cs="Times New Roman"/>
          <w:szCs w:val="28"/>
        </w:rPr>
        <w:t>:</w:t>
      </w:r>
      <w:r w:rsidR="0026089E" w:rsidRPr="0026089E">
        <w:rPr>
          <w:rFonts w:eastAsia="MS Mincho" w:cs="Times New Roman"/>
          <w:szCs w:val="28"/>
        </w:rPr>
        <w:t xml:space="preserve"> </w:t>
      </w:r>
      <w:r w:rsidR="002E1D8A">
        <w:rPr>
          <w:rFonts w:cs="Times New Roman"/>
          <w:szCs w:val="26"/>
        </w:rPr>
        <w:t>с</w:t>
      </w:r>
      <w:proofErr w:type="spellStart"/>
      <w:r w:rsidR="0026089E" w:rsidRPr="00A70ACC">
        <w:rPr>
          <w:rFonts w:cs="Times New Roman"/>
          <w:szCs w:val="26"/>
          <w:lang w:val="en-US"/>
        </w:rPr>
        <w:t>alimo</w:t>
      </w:r>
      <w:r w:rsidR="002E1D8A">
        <w:rPr>
          <w:rFonts w:cs="Times New Roman"/>
          <w:szCs w:val="26"/>
          <w:lang w:val="en-US"/>
        </w:rPr>
        <w:t>w</w:t>
      </w:r>
      <w:proofErr w:type="spellEnd"/>
      <w:r w:rsidR="00DE41AE" w:rsidRPr="00DE41AE">
        <w:rPr>
          <w:rFonts w:cs="Times New Roman"/>
          <w:szCs w:val="26"/>
        </w:rPr>
        <w:t>.</w:t>
      </w:r>
      <w:r w:rsidR="002E1D8A">
        <w:rPr>
          <w:rFonts w:cs="Times New Roman"/>
          <w:szCs w:val="26"/>
          <w:lang w:val="en-US"/>
        </w:rPr>
        <w:t>a</w:t>
      </w:r>
      <w:r w:rsidR="00DE41AE" w:rsidRPr="00DE41AE">
        <w:rPr>
          <w:rFonts w:cs="Times New Roman"/>
          <w:szCs w:val="26"/>
        </w:rPr>
        <w:t>.</w:t>
      </w:r>
      <w:r w:rsidR="002E1D8A">
        <w:rPr>
          <w:rFonts w:cs="Times New Roman"/>
          <w:szCs w:val="26"/>
          <w:lang w:val="en-US"/>
        </w:rPr>
        <w:t>t</w:t>
      </w:r>
      <w:r w:rsidR="0026089E"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="0026089E" w:rsidRPr="0026089E">
        <w:rPr>
          <w:rFonts w:cs="Times New Roman"/>
          <w:szCs w:val="26"/>
        </w:rPr>
        <w:t>.</w:t>
      </w:r>
      <w:proofErr w:type="spellStart"/>
      <w:r w:rsidR="0026089E"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Pr="00E10708" w:rsidRDefault="00DD722C" w:rsidP="00783774">
      <w:pPr>
        <w:rPr>
          <w:sz w:val="24"/>
          <w:szCs w:val="28"/>
        </w:rPr>
      </w:pPr>
    </w:p>
    <w:p w:rsidR="003F16DE" w:rsidRDefault="00DE41AE" w:rsidP="003F16DE">
      <w:r w:rsidRPr="00DE41AE">
        <w:rPr>
          <w:i/>
          <w:szCs w:val="28"/>
        </w:rPr>
        <w:t>Научный руководитель: к. э. н., доцент Романюк А. В.</w:t>
      </w:r>
    </w:p>
    <w:sectPr w:rsidR="003F16DE" w:rsidSect="00C36BE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1C"/>
    <w:rsid w:val="00005C5C"/>
    <w:rsid w:val="000A44CE"/>
    <w:rsid w:val="000C2C64"/>
    <w:rsid w:val="000E3CE3"/>
    <w:rsid w:val="000F04AE"/>
    <w:rsid w:val="000F7072"/>
    <w:rsid w:val="00120216"/>
    <w:rsid w:val="00193FC9"/>
    <w:rsid w:val="001A0BAC"/>
    <w:rsid w:val="001A1068"/>
    <w:rsid w:val="001A7DC9"/>
    <w:rsid w:val="00210763"/>
    <w:rsid w:val="00210A1A"/>
    <w:rsid w:val="002221B2"/>
    <w:rsid w:val="0025220E"/>
    <w:rsid w:val="0026089E"/>
    <w:rsid w:val="002D0A7D"/>
    <w:rsid w:val="002E1D8A"/>
    <w:rsid w:val="002E40CE"/>
    <w:rsid w:val="002F66E1"/>
    <w:rsid w:val="00333013"/>
    <w:rsid w:val="0036532C"/>
    <w:rsid w:val="003B087F"/>
    <w:rsid w:val="003F02C1"/>
    <w:rsid w:val="003F16DE"/>
    <w:rsid w:val="003F607E"/>
    <w:rsid w:val="00407487"/>
    <w:rsid w:val="004273AE"/>
    <w:rsid w:val="0047445D"/>
    <w:rsid w:val="004A3312"/>
    <w:rsid w:val="004C25C6"/>
    <w:rsid w:val="004D5D02"/>
    <w:rsid w:val="004E503D"/>
    <w:rsid w:val="005073A3"/>
    <w:rsid w:val="00547019"/>
    <w:rsid w:val="0056017B"/>
    <w:rsid w:val="005649AB"/>
    <w:rsid w:val="0057153E"/>
    <w:rsid w:val="005F0EBE"/>
    <w:rsid w:val="00620DCE"/>
    <w:rsid w:val="00623E49"/>
    <w:rsid w:val="00636518"/>
    <w:rsid w:val="006D6F85"/>
    <w:rsid w:val="00706C6B"/>
    <w:rsid w:val="00754AA0"/>
    <w:rsid w:val="007672F9"/>
    <w:rsid w:val="0077495E"/>
    <w:rsid w:val="00783774"/>
    <w:rsid w:val="007862F0"/>
    <w:rsid w:val="007870E2"/>
    <w:rsid w:val="007B6DB3"/>
    <w:rsid w:val="007C012E"/>
    <w:rsid w:val="007C5BE8"/>
    <w:rsid w:val="00820F84"/>
    <w:rsid w:val="008D77C1"/>
    <w:rsid w:val="0090292D"/>
    <w:rsid w:val="0095462E"/>
    <w:rsid w:val="00984299"/>
    <w:rsid w:val="009906AE"/>
    <w:rsid w:val="00990DC8"/>
    <w:rsid w:val="009B7697"/>
    <w:rsid w:val="009B7DB1"/>
    <w:rsid w:val="00A47F1F"/>
    <w:rsid w:val="00AE4C74"/>
    <w:rsid w:val="00AF28A1"/>
    <w:rsid w:val="00B26A51"/>
    <w:rsid w:val="00BA38F6"/>
    <w:rsid w:val="00BA54DB"/>
    <w:rsid w:val="00BA6C9F"/>
    <w:rsid w:val="00BB6F43"/>
    <w:rsid w:val="00BC11EB"/>
    <w:rsid w:val="00BC505D"/>
    <w:rsid w:val="00BF27FD"/>
    <w:rsid w:val="00C24479"/>
    <w:rsid w:val="00C36BE1"/>
    <w:rsid w:val="00C57A2C"/>
    <w:rsid w:val="00C71C5E"/>
    <w:rsid w:val="00CD517F"/>
    <w:rsid w:val="00D1281C"/>
    <w:rsid w:val="00D21778"/>
    <w:rsid w:val="00D253DC"/>
    <w:rsid w:val="00D40C4F"/>
    <w:rsid w:val="00D66B7C"/>
    <w:rsid w:val="00D84B97"/>
    <w:rsid w:val="00D94EF9"/>
    <w:rsid w:val="00DB6F1E"/>
    <w:rsid w:val="00DD4FC9"/>
    <w:rsid w:val="00DD722C"/>
    <w:rsid w:val="00DE41AE"/>
    <w:rsid w:val="00E10708"/>
    <w:rsid w:val="00E40466"/>
    <w:rsid w:val="00E7499B"/>
    <w:rsid w:val="00E95E85"/>
    <w:rsid w:val="00EA66D7"/>
    <w:rsid w:val="00EE781E"/>
    <w:rsid w:val="00EF4FBB"/>
    <w:rsid w:val="00F0160E"/>
    <w:rsid w:val="00F04B5F"/>
    <w:rsid w:val="00F352AD"/>
    <w:rsid w:val="00F84836"/>
    <w:rsid w:val="00FA538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A5F44C-4726-427A-A1F1-7123DEA9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7A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_n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.tversu.ru/Conf/conf04.html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%D0%9B%D0%B5%D1%81%D0%BD%D0%BE%D0%B5_%D1%85%D0%BE%D0%B7%D1%8F%D0%B9%D1%81%D1%82%D0%B2%D0%B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.wikipedia.org/wiki/%D0%9E%D1%85%D0%BE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B%D1%8C%D1%81%D0%BA%D0%BE%D0%B5_%D1%85%D0%BE%D0%B7%D1%8F%D0%B9%D1%81%D1%82%D0%B2%D0%BE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26-4AFF-8E61-92DAB92A5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26-4AFF-8E61-92DAB92A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358750816"/>
        <c:axId val="352620912"/>
      </c:barChart>
      <c:catAx>
        <c:axId val="358750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2620912"/>
        <c:crosses val="autoZero"/>
        <c:auto val="1"/>
        <c:lblAlgn val="ctr"/>
        <c:lblOffset val="100"/>
        <c:noMultiLvlLbl val="0"/>
      </c:catAx>
      <c:valAx>
        <c:axId val="35262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75081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Романюк</dc:creator>
  <cp:lastModifiedBy>Александр Романюк</cp:lastModifiedBy>
  <cp:revision>16</cp:revision>
  <dcterms:created xsi:type="dcterms:W3CDTF">2020-01-22T10:33:00Z</dcterms:created>
  <dcterms:modified xsi:type="dcterms:W3CDTF">2023-04-07T12:06:00Z</dcterms:modified>
</cp:coreProperties>
</file>